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94" w:rsidRPr="00A914BA" w:rsidRDefault="00C60A78" w:rsidP="00E13294">
      <w:pPr>
        <w:jc w:val="center"/>
        <w:rPr>
          <w:b/>
          <w:sz w:val="28"/>
        </w:rPr>
      </w:pPr>
      <w:r w:rsidRPr="00A914BA">
        <w:rPr>
          <w:b/>
          <w:sz w:val="28"/>
        </w:rPr>
        <w:t>Executive Director</w:t>
      </w:r>
      <w:r w:rsidR="00E13294" w:rsidRPr="00A914BA">
        <w:rPr>
          <w:b/>
          <w:sz w:val="28"/>
        </w:rPr>
        <w:t>’</w:t>
      </w:r>
      <w:r w:rsidRPr="00A914BA">
        <w:rPr>
          <w:b/>
          <w:sz w:val="28"/>
        </w:rPr>
        <w:t xml:space="preserve">s </w:t>
      </w:r>
      <w:r w:rsidR="00DB57CC" w:rsidRPr="00A914BA">
        <w:rPr>
          <w:b/>
          <w:sz w:val="28"/>
        </w:rPr>
        <w:t xml:space="preserve">Summary </w:t>
      </w:r>
      <w:r w:rsidRPr="00A914BA">
        <w:rPr>
          <w:b/>
          <w:sz w:val="28"/>
        </w:rPr>
        <w:t xml:space="preserve">Report </w:t>
      </w:r>
    </w:p>
    <w:p w:rsidR="00E13294" w:rsidRPr="00A914BA" w:rsidRDefault="00C60A78" w:rsidP="00E13294">
      <w:pPr>
        <w:jc w:val="center"/>
        <w:rPr>
          <w:b/>
          <w:sz w:val="28"/>
        </w:rPr>
      </w:pPr>
      <w:proofErr w:type="gramStart"/>
      <w:r w:rsidRPr="00A914BA">
        <w:rPr>
          <w:b/>
          <w:sz w:val="28"/>
        </w:rPr>
        <w:t>to</w:t>
      </w:r>
      <w:proofErr w:type="gramEnd"/>
      <w:r w:rsidRPr="00A914BA">
        <w:rPr>
          <w:b/>
          <w:sz w:val="28"/>
        </w:rPr>
        <w:t xml:space="preserve"> the Board of Trustees</w:t>
      </w:r>
    </w:p>
    <w:p w:rsidR="00E13294" w:rsidRPr="00A914BA" w:rsidRDefault="00E13294" w:rsidP="00E13294">
      <w:pPr>
        <w:jc w:val="center"/>
        <w:rPr>
          <w:b/>
          <w:sz w:val="28"/>
        </w:rPr>
      </w:pPr>
      <w:r w:rsidRPr="00A914BA">
        <w:rPr>
          <w:b/>
          <w:sz w:val="28"/>
        </w:rPr>
        <w:t>Efficiency Maine Trust</w:t>
      </w:r>
    </w:p>
    <w:p w:rsidR="00E13294" w:rsidRPr="00A914BA" w:rsidRDefault="00E13294" w:rsidP="00E13294">
      <w:pPr>
        <w:jc w:val="center"/>
        <w:rPr>
          <w:b/>
          <w:sz w:val="28"/>
        </w:rPr>
      </w:pPr>
    </w:p>
    <w:p w:rsidR="002F446A" w:rsidRPr="00A914BA" w:rsidRDefault="00AE6C1E" w:rsidP="00E13294">
      <w:pPr>
        <w:jc w:val="center"/>
        <w:rPr>
          <w:b/>
          <w:sz w:val="28"/>
        </w:rPr>
      </w:pPr>
      <w:r>
        <w:rPr>
          <w:b/>
          <w:sz w:val="28"/>
        </w:rPr>
        <w:t>June 1</w:t>
      </w:r>
      <w:r w:rsidR="00346BD4">
        <w:rPr>
          <w:b/>
          <w:sz w:val="28"/>
        </w:rPr>
        <w:t>, 2011</w:t>
      </w:r>
    </w:p>
    <w:p w:rsidR="00C60A78" w:rsidRDefault="00C60A78"/>
    <w:p w:rsidR="00C60A78" w:rsidRDefault="00C60A78"/>
    <w:p w:rsidR="00A76269" w:rsidRDefault="00A76269" w:rsidP="00CF46D6">
      <w:pPr>
        <w:pStyle w:val="ListParagraph"/>
        <w:numPr>
          <w:ilvl w:val="0"/>
          <w:numId w:val="2"/>
        </w:numPr>
        <w:ind w:left="720"/>
        <w:rPr>
          <w:b/>
        </w:rPr>
      </w:pPr>
      <w:r>
        <w:rPr>
          <w:b/>
        </w:rPr>
        <w:t>Communications</w:t>
      </w:r>
    </w:p>
    <w:p w:rsidR="00B272AE" w:rsidRPr="00B272AE" w:rsidRDefault="00B272AE" w:rsidP="00B272AE">
      <w:pPr>
        <w:rPr>
          <w:b/>
        </w:rPr>
      </w:pPr>
    </w:p>
    <w:p w:rsidR="00A76269" w:rsidRDefault="006A36E5" w:rsidP="00A76269">
      <w:pPr>
        <w:pStyle w:val="ListParagraph"/>
        <w:numPr>
          <w:ilvl w:val="1"/>
          <w:numId w:val="2"/>
        </w:numPr>
        <w:rPr>
          <w:b/>
        </w:rPr>
      </w:pPr>
      <w:r>
        <w:rPr>
          <w:b/>
        </w:rPr>
        <w:t>Press</w:t>
      </w:r>
    </w:p>
    <w:p w:rsidR="005F77C3" w:rsidRDefault="005F77C3" w:rsidP="00A76269">
      <w:pPr>
        <w:rPr>
          <w:szCs w:val="20"/>
        </w:rPr>
      </w:pPr>
    </w:p>
    <w:p w:rsidR="006A36E5" w:rsidRDefault="006A36E5" w:rsidP="00A76269">
      <w:pPr>
        <w:rPr>
          <w:szCs w:val="20"/>
        </w:rPr>
      </w:pPr>
      <w:r>
        <w:rPr>
          <w:szCs w:val="20"/>
        </w:rPr>
        <w:t xml:space="preserve">The Trust received extensive </w:t>
      </w:r>
      <w:r w:rsidR="001A5B05">
        <w:rPr>
          <w:szCs w:val="20"/>
        </w:rPr>
        <w:t xml:space="preserve">earned media </w:t>
      </w:r>
      <w:r>
        <w:rPr>
          <w:szCs w:val="20"/>
        </w:rPr>
        <w:t xml:space="preserve">of the first home energy upgrades associated with PACE loans.  The NBC affiliate stations ran an evening news story that ran longer than 2 minutes, explaining in </w:t>
      </w:r>
      <w:proofErr w:type="gramStart"/>
      <w:r>
        <w:rPr>
          <w:szCs w:val="20"/>
        </w:rPr>
        <w:t>detail</w:t>
      </w:r>
      <w:proofErr w:type="gramEnd"/>
      <w:r>
        <w:rPr>
          <w:szCs w:val="20"/>
        </w:rPr>
        <w:t xml:space="preserve"> the economics of the energy savings outweighing the costs of borrowing the project costs through a PACE loan.  The Bangor Daily News ran a similar story, and Maine Public Broadcasting ran a story longer than 5 minutes</w:t>
      </w:r>
      <w:r w:rsidR="001A5B05">
        <w:rPr>
          <w:szCs w:val="20"/>
        </w:rPr>
        <w:t>.  The event was coordinated by Trust staff and the Participating Energy Advisor from Evergreen Home Performance.</w:t>
      </w:r>
    </w:p>
    <w:p w:rsidR="001A5B05" w:rsidRDefault="001A5B05" w:rsidP="00A76269">
      <w:pPr>
        <w:rPr>
          <w:szCs w:val="20"/>
        </w:rPr>
      </w:pPr>
    </w:p>
    <w:p w:rsidR="001A5B05" w:rsidRPr="001C73B3" w:rsidRDefault="001A5B05" w:rsidP="001A5B05">
      <w:pPr>
        <w:ind w:left="1800" w:hanging="360"/>
        <w:rPr>
          <w:b/>
          <w:szCs w:val="20"/>
        </w:rPr>
      </w:pPr>
      <w:r w:rsidRPr="001C73B3">
        <w:rPr>
          <w:b/>
          <w:szCs w:val="20"/>
        </w:rPr>
        <w:t>b.</w:t>
      </w:r>
      <w:r w:rsidRPr="001C73B3">
        <w:rPr>
          <w:b/>
          <w:szCs w:val="20"/>
        </w:rPr>
        <w:tab/>
        <w:t>Marketing and Awareness</w:t>
      </w:r>
    </w:p>
    <w:p w:rsidR="001A5B05" w:rsidRDefault="001A5B05" w:rsidP="001A5B05">
      <w:pPr>
        <w:ind w:left="1800" w:hanging="360"/>
        <w:rPr>
          <w:szCs w:val="20"/>
        </w:rPr>
      </w:pPr>
    </w:p>
    <w:p w:rsidR="001A5B05" w:rsidRPr="00D77D1B" w:rsidRDefault="001A5B05" w:rsidP="001C73B3">
      <w:pPr>
        <w:rPr>
          <w:szCs w:val="20"/>
        </w:rPr>
      </w:pPr>
      <w:r>
        <w:rPr>
          <w:szCs w:val="20"/>
        </w:rPr>
        <w:t xml:space="preserve">The Trust announced the selection of </w:t>
      </w:r>
      <w:r w:rsidR="001C73B3">
        <w:rPr>
          <w:szCs w:val="20"/>
        </w:rPr>
        <w:t xml:space="preserve">a new marketing team of </w:t>
      </w:r>
      <w:proofErr w:type="spellStart"/>
      <w:r w:rsidR="001C73B3">
        <w:rPr>
          <w:szCs w:val="20"/>
        </w:rPr>
        <w:t>Rinck</w:t>
      </w:r>
      <w:proofErr w:type="spellEnd"/>
      <w:r w:rsidR="001C73B3">
        <w:rPr>
          <w:szCs w:val="20"/>
        </w:rPr>
        <w:t xml:space="preserve"> Advertising (of Auburn), Cadmus Group, and Marketing Drive (of Massachusetts) to assist the Trust in its initiatives to raise awareness of Trust programs and the opportunity for Maine consumers to save energy.</w:t>
      </w:r>
    </w:p>
    <w:p w:rsidR="005F77C3" w:rsidRPr="001C73B3" w:rsidRDefault="005F77C3" w:rsidP="00A76269">
      <w:pPr>
        <w:rPr>
          <w:b/>
          <w:szCs w:val="20"/>
        </w:rPr>
      </w:pPr>
      <w:r w:rsidRPr="00D77D1B">
        <w:rPr>
          <w:b/>
          <w:szCs w:val="20"/>
        </w:rPr>
        <w:tab/>
      </w:r>
      <w:r w:rsidRPr="00D77D1B">
        <w:rPr>
          <w:b/>
          <w:szCs w:val="20"/>
        </w:rPr>
        <w:tab/>
      </w:r>
    </w:p>
    <w:p w:rsidR="00C60A78" w:rsidRPr="00C949DD" w:rsidRDefault="00906F12" w:rsidP="00CF46D6">
      <w:pPr>
        <w:pStyle w:val="ListParagraph"/>
        <w:numPr>
          <w:ilvl w:val="0"/>
          <w:numId w:val="2"/>
        </w:numPr>
        <w:ind w:left="720"/>
        <w:rPr>
          <w:b/>
        </w:rPr>
      </w:pPr>
      <w:r w:rsidRPr="00C949DD">
        <w:rPr>
          <w:b/>
        </w:rPr>
        <w:t>Finance and Administration</w:t>
      </w:r>
      <w:r w:rsidR="00C60A78" w:rsidRPr="00C949DD">
        <w:rPr>
          <w:b/>
        </w:rPr>
        <w:t xml:space="preserve"> Highlights</w:t>
      </w:r>
    </w:p>
    <w:p w:rsidR="00CF46D6" w:rsidRPr="00C949DD" w:rsidRDefault="00CF46D6" w:rsidP="00CF46D6"/>
    <w:p w:rsidR="00767A63" w:rsidRPr="00767A63" w:rsidRDefault="002F709E" w:rsidP="00C949DD">
      <w:pPr>
        <w:pStyle w:val="ListParagraph"/>
        <w:numPr>
          <w:ilvl w:val="1"/>
          <w:numId w:val="2"/>
        </w:numPr>
        <w:spacing w:line="240" w:lineRule="auto"/>
      </w:pPr>
      <w:r w:rsidRPr="00C949DD">
        <w:rPr>
          <w:rFonts w:cs="Tahoma"/>
          <w:b/>
          <w:color w:val="000000"/>
        </w:rPr>
        <w:t>GDS Associates Contract</w:t>
      </w:r>
    </w:p>
    <w:p w:rsidR="00767A63" w:rsidRPr="00767A63" w:rsidRDefault="00767A63" w:rsidP="00767A63">
      <w:pPr>
        <w:spacing w:line="240" w:lineRule="auto"/>
      </w:pPr>
    </w:p>
    <w:p w:rsidR="00C949DD" w:rsidRDefault="002F709E" w:rsidP="00767A63">
      <w:pPr>
        <w:spacing w:line="240" w:lineRule="auto"/>
        <w:rPr>
          <w:rFonts w:cs="Tahoma"/>
          <w:color w:val="000000"/>
        </w:rPr>
      </w:pPr>
      <w:r w:rsidRPr="00767A63">
        <w:rPr>
          <w:rFonts w:cs="Tahoma"/>
          <w:color w:val="000000"/>
        </w:rPr>
        <w:t>The staff</w:t>
      </w:r>
      <w:r w:rsidRPr="00767A63">
        <w:rPr>
          <w:rFonts w:cs="Tahoma"/>
          <w:b/>
          <w:color w:val="000000"/>
        </w:rPr>
        <w:t xml:space="preserve"> </w:t>
      </w:r>
      <w:r w:rsidR="001C73B3">
        <w:rPr>
          <w:rFonts w:cs="Tahoma"/>
          <w:color w:val="000000"/>
        </w:rPr>
        <w:t xml:space="preserve">negotiated a new contract with </w:t>
      </w:r>
      <w:r w:rsidRPr="00767A63">
        <w:rPr>
          <w:rFonts w:cs="Tahoma"/>
          <w:color w:val="000000"/>
        </w:rPr>
        <w:t xml:space="preserve">GDS Associates, </w:t>
      </w:r>
      <w:r w:rsidR="001C73B3">
        <w:rPr>
          <w:rFonts w:cs="Tahoma"/>
          <w:color w:val="000000"/>
        </w:rPr>
        <w:t>(</w:t>
      </w:r>
      <w:r w:rsidRPr="00767A63">
        <w:rPr>
          <w:rFonts w:cs="Tahoma"/>
          <w:color w:val="000000"/>
        </w:rPr>
        <w:t>the Trust’s current provider</w:t>
      </w:r>
      <w:r w:rsidR="001C73B3">
        <w:rPr>
          <w:rFonts w:cs="Tahoma"/>
          <w:color w:val="000000"/>
        </w:rPr>
        <w:t xml:space="preserve"> under a sub-contract to Energy and Resource Solutions under the Business Program contract)</w:t>
      </w:r>
      <w:r w:rsidRPr="00767A63">
        <w:rPr>
          <w:rFonts w:cs="Tahoma"/>
          <w:color w:val="000000"/>
        </w:rPr>
        <w:t xml:space="preserve">, for </w:t>
      </w:r>
      <w:r w:rsidR="001C73B3">
        <w:rPr>
          <w:rFonts w:cs="Tahoma"/>
          <w:color w:val="000000"/>
        </w:rPr>
        <w:t xml:space="preserve">services to maintain and expand the effRT </w:t>
      </w:r>
      <w:r w:rsidRPr="00767A63">
        <w:rPr>
          <w:rFonts w:cs="Tahoma"/>
          <w:color w:val="000000"/>
        </w:rPr>
        <w:t xml:space="preserve">database and </w:t>
      </w:r>
      <w:r w:rsidR="00C86BDA">
        <w:rPr>
          <w:rFonts w:cs="Tahoma"/>
          <w:color w:val="000000"/>
        </w:rPr>
        <w:t xml:space="preserve">provide </w:t>
      </w:r>
      <w:r w:rsidRPr="00767A63">
        <w:rPr>
          <w:rFonts w:cs="Tahoma"/>
          <w:color w:val="000000"/>
        </w:rPr>
        <w:t xml:space="preserve">technical analysis support for a period of </w:t>
      </w:r>
      <w:r w:rsidR="00C86BDA">
        <w:rPr>
          <w:rFonts w:cs="Tahoma"/>
          <w:color w:val="000000"/>
        </w:rPr>
        <w:t xml:space="preserve">no more than </w:t>
      </w:r>
      <w:r w:rsidRPr="00767A63">
        <w:rPr>
          <w:rFonts w:cs="Tahoma"/>
          <w:color w:val="000000"/>
        </w:rPr>
        <w:t xml:space="preserve">six </w:t>
      </w:r>
      <w:r w:rsidR="00C86BDA">
        <w:rPr>
          <w:rFonts w:cs="Tahoma"/>
          <w:color w:val="000000"/>
        </w:rPr>
        <w:t>months. The proposed contract is for time and materials under the same basic terms as the prior arrangement</w:t>
      </w:r>
      <w:r w:rsidRPr="00767A63">
        <w:rPr>
          <w:rFonts w:cs="Tahoma"/>
          <w:color w:val="000000"/>
        </w:rPr>
        <w:t>.</w:t>
      </w:r>
    </w:p>
    <w:p w:rsidR="00767A63" w:rsidRPr="00C949DD" w:rsidRDefault="00767A63" w:rsidP="00767A63">
      <w:pPr>
        <w:spacing w:line="240" w:lineRule="auto"/>
      </w:pPr>
    </w:p>
    <w:p w:rsidR="00767A63" w:rsidRPr="00767A63" w:rsidRDefault="00C949DD" w:rsidP="00ED1F3C">
      <w:pPr>
        <w:pStyle w:val="ListParagraph"/>
        <w:numPr>
          <w:ilvl w:val="1"/>
          <w:numId w:val="2"/>
        </w:numPr>
        <w:spacing w:line="240" w:lineRule="auto"/>
      </w:pPr>
      <w:r w:rsidRPr="00C949DD">
        <w:rPr>
          <w:b/>
        </w:rPr>
        <w:t xml:space="preserve">Policy Documents </w:t>
      </w:r>
    </w:p>
    <w:p w:rsidR="00767A63" w:rsidRDefault="00767A63" w:rsidP="00767A63">
      <w:pPr>
        <w:spacing w:line="240" w:lineRule="auto"/>
        <w:ind w:left="1440"/>
      </w:pPr>
    </w:p>
    <w:p w:rsidR="00C949DD" w:rsidRDefault="00C86BDA" w:rsidP="00767A63">
      <w:pPr>
        <w:spacing w:line="240" w:lineRule="auto"/>
        <w:rPr>
          <w:b/>
        </w:rPr>
      </w:pPr>
      <w:r>
        <w:t xml:space="preserve">At the last meeting the Trust formally adopted </w:t>
      </w:r>
      <w:r w:rsidR="00C949DD" w:rsidRPr="00C949DD">
        <w:t xml:space="preserve">policy documents governing activity of staff.  </w:t>
      </w:r>
      <w:r>
        <w:t>Subsequently, staff organized the first in a series of staff training sessions to review the policy documents and have each employee indicate that they have reviewed and understand the terms of the documents.  These sessions will be completed by the end of the fiscal year.</w:t>
      </w:r>
      <w:r w:rsidR="00C949DD" w:rsidRPr="00767A63">
        <w:rPr>
          <w:b/>
        </w:rPr>
        <w:t xml:space="preserve"> </w:t>
      </w:r>
    </w:p>
    <w:p w:rsidR="00767A63" w:rsidRPr="00767A63" w:rsidRDefault="00767A63" w:rsidP="00767A63">
      <w:pPr>
        <w:spacing w:line="240" w:lineRule="auto"/>
      </w:pPr>
    </w:p>
    <w:p w:rsidR="00767A63" w:rsidRDefault="00767A63" w:rsidP="00767A63">
      <w:pPr>
        <w:spacing w:line="240" w:lineRule="auto"/>
      </w:pPr>
    </w:p>
    <w:p w:rsidR="00F07524" w:rsidRPr="00767A63" w:rsidRDefault="00767A63" w:rsidP="006A36E5">
      <w:pPr>
        <w:spacing w:line="240" w:lineRule="auto"/>
      </w:pPr>
      <w:r>
        <w:lastRenderedPageBreak/>
        <w:tab/>
      </w:r>
      <w:r>
        <w:tab/>
      </w:r>
    </w:p>
    <w:p w:rsidR="00C60A78" w:rsidRPr="009F2F88" w:rsidRDefault="00C60A78" w:rsidP="00CF46D6">
      <w:pPr>
        <w:pStyle w:val="ListParagraph"/>
        <w:numPr>
          <w:ilvl w:val="0"/>
          <w:numId w:val="2"/>
        </w:numPr>
        <w:ind w:left="720"/>
        <w:rPr>
          <w:b/>
        </w:rPr>
      </w:pPr>
      <w:r w:rsidRPr="009F2F88">
        <w:rPr>
          <w:b/>
        </w:rPr>
        <w:t>Program Highlights</w:t>
      </w:r>
    </w:p>
    <w:p w:rsidR="002B4F2B" w:rsidRPr="009F2F88" w:rsidRDefault="002B4F2B" w:rsidP="002B4F2B"/>
    <w:p w:rsidR="00453437" w:rsidRDefault="00C60A78" w:rsidP="00453437">
      <w:pPr>
        <w:pStyle w:val="ListParagraph"/>
        <w:numPr>
          <w:ilvl w:val="1"/>
          <w:numId w:val="2"/>
        </w:numPr>
        <w:rPr>
          <w:b/>
        </w:rPr>
      </w:pPr>
      <w:r w:rsidRPr="009F2F88">
        <w:rPr>
          <w:b/>
        </w:rPr>
        <w:t>Business</w:t>
      </w:r>
      <w:r w:rsidR="008C36DE" w:rsidRPr="009F2F88">
        <w:rPr>
          <w:b/>
        </w:rPr>
        <w:t xml:space="preserve"> (</w:t>
      </w:r>
      <w:r w:rsidR="00C104BC" w:rsidRPr="009F2F88">
        <w:rPr>
          <w:b/>
        </w:rPr>
        <w:t>including Commercial, Institutional/Municipal</w:t>
      </w:r>
      <w:r w:rsidR="008C36DE" w:rsidRPr="009F2F88">
        <w:rPr>
          <w:b/>
        </w:rPr>
        <w:t xml:space="preserve">, and Industrial) </w:t>
      </w:r>
    </w:p>
    <w:p w:rsidR="00453437" w:rsidRPr="00FD6D8A" w:rsidRDefault="00453437" w:rsidP="00453437">
      <w:pPr>
        <w:ind w:left="1440"/>
      </w:pPr>
    </w:p>
    <w:p w:rsidR="005657A3" w:rsidRPr="00FD6D8A" w:rsidRDefault="00FD6D8A" w:rsidP="00FD6D8A">
      <w:r w:rsidRPr="00FD6D8A">
        <w:t>The Business Program continued on pace to exceed the energy savings goal for the year</w:t>
      </w:r>
      <w:r w:rsidR="000810AA">
        <w:t xml:space="preserve"> while remaining under budget.</w:t>
      </w:r>
    </w:p>
    <w:p w:rsidR="00FD6D8A" w:rsidRDefault="00FD6D8A" w:rsidP="00FD6D8A">
      <w:pPr>
        <w:rPr>
          <w:b/>
        </w:rPr>
      </w:pPr>
    </w:p>
    <w:p w:rsidR="00FD6D8A" w:rsidRDefault="00FD6D8A" w:rsidP="00FD6D8A">
      <w:pPr>
        <w:jc w:val="center"/>
        <w:rPr>
          <w:b/>
        </w:rPr>
      </w:pPr>
      <w:r w:rsidRPr="00FD6D8A">
        <w:rPr>
          <w:b/>
          <w:noProof/>
        </w:rPr>
        <w:drawing>
          <wp:inline distT="0" distB="0" distL="0" distR="0">
            <wp:extent cx="4152900" cy="274320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53437" w:rsidRDefault="00453437" w:rsidP="005F77C3">
      <w:pPr>
        <w:autoSpaceDE w:val="0"/>
        <w:autoSpaceDN w:val="0"/>
        <w:adjustRightInd w:val="0"/>
        <w:spacing w:line="240" w:lineRule="auto"/>
        <w:rPr>
          <w:rFonts w:cs="GalliardITCbyBT-Roman"/>
        </w:rPr>
      </w:pPr>
    </w:p>
    <w:p w:rsidR="00A71635" w:rsidRDefault="00A71635" w:rsidP="00A71635">
      <w:pPr>
        <w:autoSpaceDE w:val="0"/>
        <w:autoSpaceDN w:val="0"/>
        <w:adjustRightInd w:val="0"/>
        <w:spacing w:line="240" w:lineRule="auto"/>
        <w:rPr>
          <w:rFonts w:cs="GalliardITCbyBT-Roman"/>
        </w:rPr>
      </w:pPr>
    </w:p>
    <w:p w:rsidR="00A71635" w:rsidRPr="00452887" w:rsidRDefault="00A71635" w:rsidP="00A71635">
      <w:pPr>
        <w:autoSpaceDE w:val="0"/>
        <w:autoSpaceDN w:val="0"/>
        <w:adjustRightInd w:val="0"/>
        <w:spacing w:line="240" w:lineRule="auto"/>
        <w:ind w:left="2520" w:hanging="360"/>
        <w:rPr>
          <w:rFonts w:cs="GalliardITCbyBT-Bold"/>
          <w:b/>
          <w:bCs/>
          <w:u w:val="single"/>
        </w:rPr>
      </w:pPr>
      <w:proofErr w:type="gramStart"/>
      <w:r>
        <w:rPr>
          <w:rFonts w:cs="GalliardITCbyBT-Bold"/>
          <w:b/>
          <w:bCs/>
        </w:rPr>
        <w:t>ii</w:t>
      </w:r>
      <w:proofErr w:type="gramEnd"/>
      <w:r>
        <w:rPr>
          <w:rFonts w:cs="GalliardITCbyBT-Bold"/>
          <w:b/>
          <w:bCs/>
        </w:rPr>
        <w:t>.</w:t>
      </w:r>
      <w:r>
        <w:rPr>
          <w:rFonts w:cs="GalliardITCbyBT-Bold"/>
          <w:b/>
          <w:bCs/>
        </w:rPr>
        <w:tab/>
        <w:t xml:space="preserve"> </w:t>
      </w:r>
      <w:r w:rsidRPr="00452887">
        <w:rPr>
          <w:rFonts w:cs="GalliardITCbyBT-Bold"/>
          <w:b/>
          <w:bCs/>
          <w:u w:val="single"/>
        </w:rPr>
        <w:t xml:space="preserve">Maine Advanced Buildings Program </w:t>
      </w:r>
    </w:p>
    <w:p w:rsidR="00A71635" w:rsidRDefault="00A71635" w:rsidP="00A71635">
      <w:pPr>
        <w:autoSpaceDE w:val="0"/>
        <w:autoSpaceDN w:val="0"/>
        <w:adjustRightInd w:val="0"/>
        <w:spacing w:line="240" w:lineRule="auto"/>
        <w:ind w:left="720"/>
        <w:rPr>
          <w:rFonts w:cs="GalliardITCbyBT-Bold"/>
          <w:b/>
          <w:bCs/>
        </w:rPr>
      </w:pPr>
    </w:p>
    <w:p w:rsidR="00A71635" w:rsidRDefault="000810AA" w:rsidP="00A71635">
      <w:pPr>
        <w:autoSpaceDE w:val="0"/>
        <w:autoSpaceDN w:val="0"/>
        <w:adjustRightInd w:val="0"/>
        <w:spacing w:line="240" w:lineRule="auto"/>
        <w:rPr>
          <w:rFonts w:cs="GalliardITCbyBT-Bold"/>
          <w:bCs/>
        </w:rPr>
      </w:pPr>
      <w:r>
        <w:rPr>
          <w:rFonts w:cs="GalliardITCbyBT-Bold"/>
          <w:bCs/>
        </w:rPr>
        <w:t>Staff is working with its business partners who completed new construction projects, including the Knox County Airport and the Portland Public Market building to give recognition for the energy savings and leadership of these projects.</w:t>
      </w:r>
    </w:p>
    <w:p w:rsidR="000810AA" w:rsidRPr="00A71635" w:rsidRDefault="000810AA" w:rsidP="00A71635">
      <w:pPr>
        <w:autoSpaceDE w:val="0"/>
        <w:autoSpaceDN w:val="0"/>
        <w:adjustRightInd w:val="0"/>
        <w:spacing w:line="240" w:lineRule="auto"/>
        <w:rPr>
          <w:rFonts w:cs="GalliardITCbyBT-Bold"/>
          <w:bCs/>
        </w:rPr>
      </w:pPr>
    </w:p>
    <w:p w:rsidR="00461304" w:rsidRPr="00E550E5" w:rsidRDefault="00E550E5" w:rsidP="00461304">
      <w:pPr>
        <w:ind w:left="2160"/>
        <w:rPr>
          <w:rFonts w:cs="Arial"/>
          <w:b/>
          <w:szCs w:val="20"/>
        </w:rPr>
      </w:pPr>
      <w:proofErr w:type="gramStart"/>
      <w:r w:rsidRPr="00E550E5">
        <w:rPr>
          <w:rFonts w:cs="Arial"/>
          <w:b/>
          <w:szCs w:val="20"/>
        </w:rPr>
        <w:t>iii</w:t>
      </w:r>
      <w:r w:rsidR="00461304" w:rsidRPr="00E550E5">
        <w:rPr>
          <w:rFonts w:cs="Arial"/>
          <w:b/>
          <w:szCs w:val="20"/>
        </w:rPr>
        <w:t>.</w:t>
      </w:r>
      <w:r w:rsidRPr="00E550E5">
        <w:rPr>
          <w:rFonts w:cs="Arial"/>
          <w:b/>
          <w:szCs w:val="20"/>
        </w:rPr>
        <w:t xml:space="preserve">    </w:t>
      </w:r>
      <w:r w:rsidR="00B272AE">
        <w:rPr>
          <w:rFonts w:cs="Arial"/>
          <w:b/>
          <w:szCs w:val="20"/>
          <w:u w:val="single"/>
        </w:rPr>
        <w:t>RFP</w:t>
      </w:r>
      <w:proofErr w:type="gramEnd"/>
      <w:r w:rsidR="00B272AE">
        <w:rPr>
          <w:rFonts w:cs="Arial"/>
          <w:b/>
          <w:szCs w:val="20"/>
          <w:u w:val="single"/>
        </w:rPr>
        <w:t xml:space="preserve"> Awards</w:t>
      </w:r>
    </w:p>
    <w:p w:rsidR="00461304" w:rsidRPr="00461304" w:rsidRDefault="00461304" w:rsidP="00461304">
      <w:pPr>
        <w:ind w:left="2160"/>
        <w:rPr>
          <w:rFonts w:ascii="Arial" w:hAnsi="Arial" w:cs="Arial"/>
          <w:sz w:val="20"/>
          <w:szCs w:val="20"/>
        </w:rPr>
      </w:pPr>
    </w:p>
    <w:p w:rsidR="00A76269" w:rsidRDefault="00461304" w:rsidP="00461304">
      <w:pPr>
        <w:rPr>
          <w:rFonts w:cs="Arial"/>
          <w:szCs w:val="20"/>
        </w:rPr>
      </w:pPr>
      <w:r w:rsidRPr="00E550E5">
        <w:rPr>
          <w:rFonts w:cs="Arial"/>
          <w:szCs w:val="20"/>
        </w:rPr>
        <w:t xml:space="preserve">Staff </w:t>
      </w:r>
      <w:r w:rsidR="006F6323">
        <w:rPr>
          <w:rFonts w:cs="Arial"/>
          <w:szCs w:val="20"/>
        </w:rPr>
        <w:t xml:space="preserve">has </w:t>
      </w:r>
      <w:r w:rsidR="00ED1F3C">
        <w:rPr>
          <w:rFonts w:cs="Arial"/>
          <w:szCs w:val="20"/>
        </w:rPr>
        <w:t xml:space="preserve">announced </w:t>
      </w:r>
      <w:r w:rsidR="006F6323">
        <w:rPr>
          <w:rFonts w:cs="Arial"/>
          <w:szCs w:val="20"/>
        </w:rPr>
        <w:t>its intention to award</w:t>
      </w:r>
      <w:r w:rsidR="00ED1F3C">
        <w:rPr>
          <w:rFonts w:cs="Arial"/>
          <w:szCs w:val="20"/>
        </w:rPr>
        <w:t xml:space="preserve"> the contract for </w:t>
      </w:r>
      <w:r w:rsidR="006F6323">
        <w:rPr>
          <w:rFonts w:cs="Arial"/>
          <w:szCs w:val="20"/>
        </w:rPr>
        <w:t xml:space="preserve">evaluation </w:t>
      </w:r>
      <w:r w:rsidR="00ED1F3C">
        <w:rPr>
          <w:rFonts w:cs="Arial"/>
          <w:szCs w:val="20"/>
        </w:rPr>
        <w:t>of the Business Program</w:t>
      </w:r>
      <w:r w:rsidR="006F6323">
        <w:rPr>
          <w:rFonts w:cs="Arial"/>
          <w:szCs w:val="20"/>
        </w:rPr>
        <w:t xml:space="preserve"> to Opinion Dynamics.</w:t>
      </w:r>
    </w:p>
    <w:p w:rsidR="005F77C3" w:rsidRPr="00A76269" w:rsidRDefault="005F77C3" w:rsidP="005F77C3">
      <w:pPr>
        <w:ind w:left="1800"/>
        <w:rPr>
          <w:rFonts w:cs="Arial"/>
          <w:szCs w:val="20"/>
        </w:rPr>
      </w:pPr>
    </w:p>
    <w:p w:rsidR="00453437" w:rsidRPr="009F2F88" w:rsidRDefault="00453437" w:rsidP="001B2348">
      <w:pPr>
        <w:pStyle w:val="ListParagraph"/>
        <w:keepNext/>
        <w:numPr>
          <w:ilvl w:val="1"/>
          <w:numId w:val="2"/>
        </w:numPr>
        <w:rPr>
          <w:b/>
        </w:rPr>
      </w:pPr>
      <w:r w:rsidRPr="009F2F88">
        <w:rPr>
          <w:b/>
        </w:rPr>
        <w:t>Residential</w:t>
      </w:r>
    </w:p>
    <w:p w:rsidR="00461304" w:rsidRPr="00A769EC" w:rsidRDefault="00461304" w:rsidP="001B2348">
      <w:pPr>
        <w:keepNext/>
        <w:rPr>
          <w:kern w:val="36"/>
        </w:rPr>
      </w:pPr>
    </w:p>
    <w:p w:rsidR="00453437" w:rsidRPr="00E550E5" w:rsidRDefault="00453437" w:rsidP="00453437">
      <w:pPr>
        <w:pStyle w:val="ListParagraph"/>
        <w:numPr>
          <w:ilvl w:val="2"/>
          <w:numId w:val="2"/>
        </w:numPr>
        <w:rPr>
          <w:b/>
          <w:u w:val="single"/>
        </w:rPr>
      </w:pPr>
      <w:r w:rsidRPr="00E550E5">
        <w:rPr>
          <w:b/>
          <w:u w:val="single"/>
        </w:rPr>
        <w:t xml:space="preserve">Home Energy Savings </w:t>
      </w:r>
      <w:r w:rsidR="001B2348">
        <w:rPr>
          <w:b/>
          <w:u w:val="single"/>
        </w:rPr>
        <w:t>incentives</w:t>
      </w:r>
      <w:r w:rsidR="00F4542F">
        <w:rPr>
          <w:b/>
          <w:u w:val="single"/>
        </w:rPr>
        <w:t xml:space="preserve"> (rebates)</w:t>
      </w:r>
    </w:p>
    <w:p w:rsidR="00B83F95" w:rsidRDefault="00876FE2" w:rsidP="00EA58D0">
      <w:pPr>
        <w:pStyle w:val="ListParagraph"/>
        <w:ind w:left="0"/>
      </w:pPr>
      <w:r>
        <w:t xml:space="preserve">As of </w:t>
      </w:r>
      <w:r w:rsidR="00B83F95">
        <w:t>Thursday, May 26, 2011 the Trust had committed 100% of it</w:t>
      </w:r>
      <w:r w:rsidR="00EA58D0">
        <w:t xml:space="preserve">s available Home Energy Savings </w:t>
      </w:r>
      <w:r w:rsidR="00B83F95">
        <w:t>Program funding.</w:t>
      </w:r>
      <w:r w:rsidR="00B83F95">
        <w:rPr>
          <w:rFonts w:ascii="Times New Roman" w:hAnsi="Times New Roman"/>
          <w:sz w:val="14"/>
          <w:szCs w:val="14"/>
        </w:rPr>
        <w:t xml:space="preserve">  </w:t>
      </w:r>
      <w:r w:rsidR="00B83F95">
        <w:t>Notice was given to Participating Energy Advisors on May 27 that:</w:t>
      </w:r>
    </w:p>
    <w:p w:rsidR="00B83F95" w:rsidRDefault="00B83F95" w:rsidP="00EA58D0">
      <w:pPr>
        <w:pStyle w:val="ListParagraph"/>
        <w:numPr>
          <w:ilvl w:val="0"/>
          <w:numId w:val="30"/>
        </w:numPr>
        <w:ind w:left="720"/>
      </w:pPr>
      <w:r>
        <w:t xml:space="preserve">The final rebate was reserved </w:t>
      </w:r>
    </w:p>
    <w:p w:rsidR="00B83F95" w:rsidRDefault="00B83F95" w:rsidP="00EA58D0">
      <w:pPr>
        <w:pStyle w:val="ListParagraph"/>
        <w:numPr>
          <w:ilvl w:val="0"/>
          <w:numId w:val="30"/>
        </w:numPr>
        <w:ind w:left="720"/>
      </w:pPr>
      <w:r>
        <w:t>All confirmed reservations will be honored</w:t>
      </w:r>
    </w:p>
    <w:p w:rsidR="00EA58D0" w:rsidRDefault="00B83F95" w:rsidP="00EA58D0">
      <w:pPr>
        <w:pStyle w:val="ListParagraph"/>
        <w:numPr>
          <w:ilvl w:val="0"/>
          <w:numId w:val="30"/>
        </w:numPr>
        <w:ind w:left="720"/>
      </w:pPr>
      <w:r>
        <w:t>$15,000 PACE loans are available</w:t>
      </w:r>
    </w:p>
    <w:p w:rsidR="00EA58D0" w:rsidRDefault="00EA58D0" w:rsidP="00B83F95">
      <w:pPr>
        <w:pStyle w:val="ListParagraph"/>
        <w:ind w:left="405" w:hanging="360"/>
      </w:pPr>
    </w:p>
    <w:p w:rsidR="00B83F95" w:rsidRDefault="00B83F95" w:rsidP="00B83F95">
      <w:pPr>
        <w:pStyle w:val="ListParagraph"/>
        <w:ind w:left="405" w:hanging="360"/>
      </w:pPr>
      <w:r>
        <w:t xml:space="preserve">The website, brochures and forms </w:t>
      </w:r>
      <w:r w:rsidR="00EA58D0">
        <w:t xml:space="preserve">have all been </w:t>
      </w:r>
      <w:r>
        <w:t>updated.</w:t>
      </w:r>
    </w:p>
    <w:p w:rsidR="00B83F95" w:rsidRDefault="00B83F95" w:rsidP="00B83F95">
      <w:pPr>
        <w:ind w:left="45"/>
      </w:pPr>
      <w:r>
        <w:t> </w:t>
      </w:r>
    </w:p>
    <w:p w:rsidR="00B83F95" w:rsidRDefault="00B83F95" w:rsidP="00B83F95">
      <w:pPr>
        <w:ind w:left="45"/>
      </w:pPr>
      <w:r>
        <w:t xml:space="preserve">The message </w:t>
      </w:r>
      <w:r w:rsidR="00EA58D0">
        <w:t xml:space="preserve">staff is </w:t>
      </w:r>
      <w:r>
        <w:t>giving people about the programs status generally is:</w:t>
      </w:r>
    </w:p>
    <w:p w:rsidR="00B83F95" w:rsidRDefault="00B83F95" w:rsidP="00EA58D0">
      <w:pPr>
        <w:pStyle w:val="ListParagraph"/>
        <w:numPr>
          <w:ilvl w:val="0"/>
          <w:numId w:val="27"/>
        </w:numPr>
        <w:ind w:left="720"/>
      </w:pPr>
      <w:r>
        <w:t xml:space="preserve">More than 2,000 homes </w:t>
      </w:r>
      <w:r w:rsidR="00EA444C">
        <w:t xml:space="preserve">have been </w:t>
      </w:r>
      <w:r>
        <w:t>upgraded</w:t>
      </w:r>
      <w:r w:rsidR="00EA444C">
        <w:t xml:space="preserve"> to date</w:t>
      </w:r>
      <w:r>
        <w:t>;</w:t>
      </w:r>
    </w:p>
    <w:p w:rsidR="00EA444C" w:rsidRDefault="00EA444C" w:rsidP="00EA58D0">
      <w:pPr>
        <w:pStyle w:val="ListParagraph"/>
        <w:numPr>
          <w:ilvl w:val="0"/>
          <w:numId w:val="27"/>
        </w:numPr>
        <w:ind w:left="720"/>
      </w:pPr>
      <w:r>
        <w:t>Our records show approximately 1,300 open reservations where upgrades are not yet completed, but when they are done in next few months the rebate program will have upgraded more than over 3,000 homes;</w:t>
      </w:r>
    </w:p>
    <w:p w:rsidR="00EA58D0" w:rsidRDefault="00EA444C" w:rsidP="00EA58D0">
      <w:pPr>
        <w:pStyle w:val="ListParagraph"/>
        <w:numPr>
          <w:ilvl w:val="0"/>
          <w:numId w:val="27"/>
        </w:numPr>
        <w:ind w:left="720"/>
      </w:pPr>
      <w:r>
        <w:t xml:space="preserve">Average energy savings per upgrade has been at least 36% </w:t>
      </w:r>
      <w:r w:rsidR="00EA58D0">
        <w:t>--</w:t>
      </w:r>
      <w:r w:rsidR="00B83F95">
        <w:t xml:space="preserve">If each family </w:t>
      </w:r>
      <w:r>
        <w:t xml:space="preserve">were initially </w:t>
      </w:r>
      <w:r w:rsidR="00B83F95">
        <w:t xml:space="preserve">using </w:t>
      </w:r>
      <w:r>
        <w:t xml:space="preserve">1,000 gallons/year, the </w:t>
      </w:r>
      <w:r w:rsidR="00B83F95">
        <w:t>upgrade</w:t>
      </w:r>
      <w:r>
        <w:t>s</w:t>
      </w:r>
      <w:r w:rsidR="00B83F95">
        <w:t xml:space="preserve"> </w:t>
      </w:r>
      <w:r w:rsidR="00EA58D0">
        <w:t xml:space="preserve">are </w:t>
      </w:r>
      <w:r w:rsidR="00B83F95">
        <w:t>pro</w:t>
      </w:r>
      <w:r w:rsidR="00EA58D0">
        <w:t xml:space="preserve">jected to save over $1,300/year; economy-wide, </w:t>
      </w:r>
      <w:r w:rsidR="00B83F95">
        <w:t>Maine is now saving $2.6 million/y</w:t>
      </w:r>
      <w:r w:rsidR="00EA58D0">
        <w:t>ear on energy;</w:t>
      </w:r>
    </w:p>
    <w:p w:rsidR="00B83F95" w:rsidRDefault="00B83F95" w:rsidP="00EA58D0">
      <w:pPr>
        <w:pStyle w:val="ListParagraph"/>
        <w:numPr>
          <w:ilvl w:val="0"/>
          <w:numId w:val="27"/>
        </w:numPr>
        <w:ind w:left="720"/>
      </w:pPr>
      <w:r>
        <w:t>Assuming a 20-year measure life</w:t>
      </w:r>
      <w:r w:rsidR="00EA58D0">
        <w:t>, and after factoring in the total costs of</w:t>
      </w:r>
      <w:r>
        <w:t xml:space="preserve"> rebates, marketing costs, delivery costs and homeowner costs, it is costing $1.34</w:t>
      </w:r>
      <w:r w:rsidR="00EA58D0">
        <w:t xml:space="preserve"> per avoided gallon.</w:t>
      </w:r>
    </w:p>
    <w:p w:rsidR="00B83F95" w:rsidRDefault="00B83F95" w:rsidP="00B83F95">
      <w:r>
        <w:t> </w:t>
      </w:r>
    </w:p>
    <w:p w:rsidR="00B83F95" w:rsidRDefault="00B83F95" w:rsidP="00B83F95">
      <w:r>
        <w:t xml:space="preserve">HESP </w:t>
      </w:r>
      <w:r w:rsidR="00EA58D0">
        <w:t xml:space="preserve">is now transitioning toward </w:t>
      </w:r>
      <w:r w:rsidR="00876FE2">
        <w:t xml:space="preserve">a program design limited to </w:t>
      </w:r>
      <w:r w:rsidR="00EA58D0">
        <w:t>education/awareness</w:t>
      </w:r>
      <w:r w:rsidR="00876FE2">
        <w:t xml:space="preserve"> and loans</w:t>
      </w:r>
      <w:r>
        <w:t xml:space="preserve">.  </w:t>
      </w:r>
      <w:r w:rsidR="00EA58D0">
        <w:t xml:space="preserve">We have already initiated a program evaluation of the past year’s program activity and will closely track the progress of </w:t>
      </w:r>
      <w:r w:rsidR="00876FE2">
        <w:t>the new program design</w:t>
      </w:r>
      <w:r>
        <w:t>.</w:t>
      </w:r>
    </w:p>
    <w:p w:rsidR="00453437" w:rsidRPr="00453437" w:rsidRDefault="00453437" w:rsidP="00453437">
      <w:pPr>
        <w:ind w:left="2340"/>
        <w:rPr>
          <w:u w:val="single"/>
        </w:rPr>
      </w:pPr>
    </w:p>
    <w:p w:rsidR="00E550E5" w:rsidRDefault="00E550E5" w:rsidP="00E550E5">
      <w:pPr>
        <w:rPr>
          <w:rFonts w:cs="Arial"/>
        </w:rPr>
      </w:pPr>
    </w:p>
    <w:p w:rsidR="00453437" w:rsidRPr="00E550E5" w:rsidRDefault="00BD4AC0" w:rsidP="00453437">
      <w:pPr>
        <w:pStyle w:val="ListParagraph"/>
        <w:numPr>
          <w:ilvl w:val="2"/>
          <w:numId w:val="2"/>
        </w:numPr>
        <w:rPr>
          <w:b/>
          <w:u w:val="single"/>
        </w:rPr>
      </w:pPr>
      <w:r>
        <w:rPr>
          <w:b/>
          <w:u w:val="single"/>
        </w:rPr>
        <w:t>Maine PACE L</w:t>
      </w:r>
      <w:r w:rsidR="00453437" w:rsidRPr="00E550E5">
        <w:rPr>
          <w:b/>
          <w:u w:val="single"/>
        </w:rPr>
        <w:t xml:space="preserve">oan </w:t>
      </w:r>
      <w:r>
        <w:rPr>
          <w:b/>
          <w:u w:val="single"/>
        </w:rPr>
        <w:t>P</w:t>
      </w:r>
      <w:r w:rsidR="00453437" w:rsidRPr="00E550E5">
        <w:rPr>
          <w:b/>
          <w:u w:val="single"/>
        </w:rPr>
        <w:t>rogram</w:t>
      </w:r>
    </w:p>
    <w:p w:rsidR="00453437" w:rsidRPr="00876FE2" w:rsidRDefault="00453437" w:rsidP="00453437">
      <w:pPr>
        <w:autoSpaceDE w:val="0"/>
        <w:autoSpaceDN w:val="0"/>
        <w:spacing w:line="240" w:lineRule="auto"/>
        <w:rPr>
          <w:b/>
          <w:sz w:val="24"/>
        </w:rPr>
      </w:pPr>
    </w:p>
    <w:p w:rsidR="00876FE2" w:rsidRPr="00876FE2" w:rsidRDefault="00876FE2" w:rsidP="00453437">
      <w:pPr>
        <w:rPr>
          <w:rFonts w:eastAsia="Times New Roman" w:cs="Courier New"/>
          <w:color w:val="000000"/>
          <w:szCs w:val="20"/>
        </w:rPr>
      </w:pPr>
      <w:r w:rsidRPr="00876FE2">
        <w:rPr>
          <w:rFonts w:eastAsia="Times New Roman" w:cs="Courier New"/>
          <w:color w:val="000000"/>
          <w:szCs w:val="20"/>
        </w:rPr>
        <w:t xml:space="preserve">Staff reports that </w:t>
      </w:r>
      <w:r w:rsidR="00AE6C1E" w:rsidRPr="00876FE2">
        <w:rPr>
          <w:rFonts w:eastAsia="Times New Roman" w:cs="Courier New"/>
          <w:color w:val="000000"/>
          <w:szCs w:val="20"/>
        </w:rPr>
        <w:t>73 towns</w:t>
      </w:r>
      <w:r w:rsidRPr="00876FE2">
        <w:rPr>
          <w:rFonts w:eastAsia="Times New Roman" w:cs="Courier New"/>
          <w:color w:val="000000"/>
          <w:szCs w:val="20"/>
        </w:rPr>
        <w:t>,</w:t>
      </w:r>
      <w:r w:rsidR="00AE6C1E" w:rsidRPr="00876FE2">
        <w:rPr>
          <w:rFonts w:eastAsia="Times New Roman" w:cs="Courier New"/>
          <w:color w:val="000000"/>
          <w:szCs w:val="20"/>
        </w:rPr>
        <w:t xml:space="preserve"> representing 49% of the population</w:t>
      </w:r>
      <w:r w:rsidRPr="00876FE2">
        <w:rPr>
          <w:rFonts w:eastAsia="Times New Roman" w:cs="Courier New"/>
          <w:color w:val="000000"/>
          <w:szCs w:val="20"/>
        </w:rPr>
        <w:t>, have now opted in to the PACE Loan program</w:t>
      </w:r>
      <w:r w:rsidR="00AE6C1E" w:rsidRPr="00876FE2">
        <w:rPr>
          <w:rFonts w:eastAsia="Times New Roman" w:cs="Courier New"/>
          <w:color w:val="000000"/>
          <w:szCs w:val="20"/>
        </w:rPr>
        <w:t>. York, Windham and Ellsworth all recently</w:t>
      </w:r>
      <w:r w:rsidRPr="00876FE2">
        <w:rPr>
          <w:rFonts w:eastAsia="Times New Roman" w:cs="Courier New"/>
          <w:color w:val="000000"/>
          <w:szCs w:val="20"/>
        </w:rPr>
        <w:t xml:space="preserve"> joined</w:t>
      </w:r>
      <w:r w:rsidR="00AE6C1E" w:rsidRPr="00876FE2">
        <w:rPr>
          <w:rFonts w:eastAsia="Times New Roman" w:cs="Courier New"/>
          <w:color w:val="000000"/>
          <w:szCs w:val="20"/>
        </w:rPr>
        <w:t>.</w:t>
      </w:r>
      <w:r w:rsidR="00AE6C1E" w:rsidRPr="00876FE2">
        <w:rPr>
          <w:rFonts w:eastAsia="Times New Roman" w:cs="Courier New"/>
          <w:color w:val="000000"/>
          <w:szCs w:val="20"/>
        </w:rPr>
        <w:br/>
      </w:r>
      <w:r w:rsidR="00AE6C1E" w:rsidRPr="00876FE2">
        <w:rPr>
          <w:rFonts w:eastAsia="Times New Roman" w:cs="Courier New"/>
          <w:color w:val="000000"/>
          <w:szCs w:val="20"/>
        </w:rPr>
        <w:br/>
        <w:t xml:space="preserve">As of </w:t>
      </w:r>
      <w:r w:rsidRPr="00876FE2">
        <w:rPr>
          <w:rFonts w:eastAsia="Times New Roman" w:cs="Courier New"/>
          <w:color w:val="000000"/>
          <w:szCs w:val="20"/>
        </w:rPr>
        <w:t xml:space="preserve">May </w:t>
      </w:r>
      <w:r w:rsidR="00AE6C1E" w:rsidRPr="00876FE2">
        <w:rPr>
          <w:rFonts w:eastAsia="Times New Roman" w:cs="Courier New"/>
          <w:color w:val="000000"/>
          <w:szCs w:val="20"/>
        </w:rPr>
        <w:t>30</w:t>
      </w:r>
      <w:r w:rsidRPr="00876FE2">
        <w:rPr>
          <w:rFonts w:eastAsia="Times New Roman" w:cs="Courier New"/>
          <w:color w:val="000000"/>
          <w:szCs w:val="20"/>
        </w:rPr>
        <w:t>, 20</w:t>
      </w:r>
      <w:r w:rsidR="00AE6C1E" w:rsidRPr="00876FE2">
        <w:rPr>
          <w:rFonts w:eastAsia="Times New Roman" w:cs="Courier New"/>
          <w:color w:val="000000"/>
          <w:szCs w:val="20"/>
        </w:rPr>
        <w:t>11</w:t>
      </w:r>
      <w:r w:rsidRPr="00876FE2">
        <w:rPr>
          <w:rFonts w:eastAsia="Times New Roman" w:cs="Courier New"/>
          <w:color w:val="000000"/>
          <w:szCs w:val="20"/>
        </w:rPr>
        <w:t>, the program results include</w:t>
      </w:r>
      <w:r w:rsidR="00AE6C1E" w:rsidRPr="00876FE2">
        <w:rPr>
          <w:rFonts w:eastAsia="Times New Roman" w:cs="Courier New"/>
          <w:color w:val="000000"/>
          <w:szCs w:val="20"/>
        </w:rPr>
        <w:t>:</w:t>
      </w:r>
    </w:p>
    <w:p w:rsidR="00876FE2" w:rsidRPr="00876FE2" w:rsidRDefault="00876FE2" w:rsidP="00876FE2">
      <w:pPr>
        <w:pStyle w:val="ListParagraph"/>
        <w:numPr>
          <w:ilvl w:val="0"/>
          <w:numId w:val="32"/>
        </w:numPr>
        <w:ind w:left="720"/>
        <w:rPr>
          <w:rFonts w:eastAsia="Times New Roman" w:cs="Courier New"/>
          <w:color w:val="000000"/>
          <w:szCs w:val="20"/>
        </w:rPr>
      </w:pPr>
      <w:r w:rsidRPr="00876FE2">
        <w:rPr>
          <w:rFonts w:eastAsia="Times New Roman" w:cs="Courier New"/>
          <w:color w:val="000000"/>
          <w:szCs w:val="20"/>
        </w:rPr>
        <w:t>119 applications from 42 towns</w:t>
      </w:r>
    </w:p>
    <w:p w:rsidR="00876FE2" w:rsidRPr="00876FE2" w:rsidRDefault="00AE6C1E" w:rsidP="00876FE2">
      <w:pPr>
        <w:pStyle w:val="ListParagraph"/>
        <w:numPr>
          <w:ilvl w:val="0"/>
          <w:numId w:val="32"/>
        </w:numPr>
        <w:ind w:left="720"/>
        <w:rPr>
          <w:rFonts w:eastAsia="Times New Roman" w:cs="Courier New"/>
          <w:color w:val="000000"/>
          <w:szCs w:val="20"/>
        </w:rPr>
      </w:pPr>
      <w:r w:rsidRPr="00876FE2">
        <w:rPr>
          <w:rFonts w:eastAsia="Times New Roman" w:cs="Courier New"/>
          <w:color w:val="000000"/>
          <w:szCs w:val="20"/>
        </w:rPr>
        <w:t>40 declin</w:t>
      </w:r>
      <w:r w:rsidR="00876FE2" w:rsidRPr="00876FE2">
        <w:rPr>
          <w:rFonts w:eastAsia="Times New Roman" w:cs="Courier New"/>
          <w:color w:val="000000"/>
          <w:szCs w:val="20"/>
        </w:rPr>
        <w:t>ed applications (one/third)</w:t>
      </w:r>
    </w:p>
    <w:p w:rsidR="00876FE2" w:rsidRPr="00876FE2" w:rsidRDefault="00876FE2" w:rsidP="00876FE2">
      <w:pPr>
        <w:pStyle w:val="ListParagraph"/>
        <w:numPr>
          <w:ilvl w:val="0"/>
          <w:numId w:val="32"/>
        </w:numPr>
        <w:ind w:left="720"/>
        <w:rPr>
          <w:rFonts w:eastAsia="Times New Roman" w:cs="Courier New"/>
          <w:color w:val="000000"/>
          <w:szCs w:val="20"/>
        </w:rPr>
      </w:pPr>
      <w:r w:rsidRPr="00876FE2">
        <w:rPr>
          <w:rFonts w:eastAsia="Times New Roman" w:cs="Courier New"/>
          <w:color w:val="000000"/>
          <w:szCs w:val="20"/>
        </w:rPr>
        <w:t>7 withdrawn</w:t>
      </w:r>
    </w:p>
    <w:p w:rsidR="00876FE2" w:rsidRPr="00876FE2" w:rsidRDefault="00876FE2" w:rsidP="00876FE2">
      <w:pPr>
        <w:pStyle w:val="ListParagraph"/>
        <w:numPr>
          <w:ilvl w:val="0"/>
          <w:numId w:val="32"/>
        </w:numPr>
        <w:ind w:left="720"/>
        <w:rPr>
          <w:rFonts w:eastAsia="Times New Roman" w:cs="Courier New"/>
          <w:color w:val="000000"/>
          <w:szCs w:val="20"/>
        </w:rPr>
      </w:pPr>
      <w:r w:rsidRPr="00876FE2">
        <w:rPr>
          <w:rFonts w:eastAsia="Times New Roman" w:cs="Courier New"/>
          <w:color w:val="000000"/>
          <w:szCs w:val="20"/>
        </w:rPr>
        <w:t>7 closed loans</w:t>
      </w:r>
    </w:p>
    <w:p w:rsidR="00876FE2" w:rsidRPr="00876FE2" w:rsidRDefault="00876FE2" w:rsidP="00876FE2">
      <w:pPr>
        <w:pStyle w:val="ListParagraph"/>
        <w:numPr>
          <w:ilvl w:val="0"/>
          <w:numId w:val="32"/>
        </w:numPr>
        <w:ind w:left="720"/>
        <w:rPr>
          <w:rFonts w:eastAsia="Times New Roman" w:cs="Courier New"/>
          <w:color w:val="000000"/>
          <w:szCs w:val="20"/>
        </w:rPr>
      </w:pPr>
      <w:r w:rsidRPr="00876FE2">
        <w:rPr>
          <w:rFonts w:eastAsia="Times New Roman" w:cs="Courier New"/>
          <w:color w:val="000000"/>
          <w:szCs w:val="20"/>
        </w:rPr>
        <w:t>36 in underwriting verification</w:t>
      </w:r>
    </w:p>
    <w:p w:rsidR="00876FE2" w:rsidRPr="00876FE2" w:rsidRDefault="00876FE2" w:rsidP="00876FE2">
      <w:pPr>
        <w:pStyle w:val="ListParagraph"/>
        <w:numPr>
          <w:ilvl w:val="0"/>
          <w:numId w:val="32"/>
        </w:numPr>
        <w:ind w:left="720"/>
        <w:rPr>
          <w:rFonts w:eastAsia="Times New Roman" w:cs="Courier New"/>
          <w:color w:val="000000"/>
          <w:szCs w:val="20"/>
        </w:rPr>
      </w:pPr>
      <w:r w:rsidRPr="00876FE2">
        <w:rPr>
          <w:rFonts w:eastAsia="Times New Roman" w:cs="Courier New"/>
          <w:color w:val="000000"/>
          <w:szCs w:val="20"/>
        </w:rPr>
        <w:t>22 pre-approved</w:t>
      </w:r>
    </w:p>
    <w:p w:rsidR="00876FE2" w:rsidRPr="00876FE2" w:rsidRDefault="00AE6C1E" w:rsidP="00876FE2">
      <w:pPr>
        <w:pStyle w:val="ListParagraph"/>
        <w:numPr>
          <w:ilvl w:val="0"/>
          <w:numId w:val="32"/>
        </w:numPr>
        <w:ind w:left="720"/>
        <w:rPr>
          <w:rFonts w:eastAsia="Times New Roman" w:cs="Courier New"/>
          <w:color w:val="000000"/>
          <w:szCs w:val="20"/>
        </w:rPr>
      </w:pPr>
      <w:r w:rsidRPr="00876FE2">
        <w:rPr>
          <w:rFonts w:eastAsia="Times New Roman" w:cs="Courier New"/>
          <w:color w:val="000000"/>
          <w:szCs w:val="20"/>
        </w:rPr>
        <w:t xml:space="preserve">3 </w:t>
      </w:r>
      <w:r w:rsidR="00876FE2" w:rsidRPr="00876FE2">
        <w:rPr>
          <w:rFonts w:eastAsia="Times New Roman" w:cs="Courier New"/>
          <w:color w:val="000000"/>
          <w:szCs w:val="20"/>
        </w:rPr>
        <w:t>still under review</w:t>
      </w:r>
    </w:p>
    <w:p w:rsidR="00876FE2" w:rsidRPr="00876FE2" w:rsidRDefault="00AE6C1E" w:rsidP="00453437">
      <w:pPr>
        <w:pStyle w:val="ListParagraph"/>
        <w:numPr>
          <w:ilvl w:val="0"/>
          <w:numId w:val="32"/>
        </w:numPr>
        <w:ind w:left="720"/>
        <w:rPr>
          <w:sz w:val="24"/>
        </w:rPr>
      </w:pPr>
      <w:r w:rsidRPr="00876FE2">
        <w:rPr>
          <w:rFonts w:eastAsia="Times New Roman" w:cs="Courier New"/>
          <w:color w:val="000000"/>
          <w:szCs w:val="20"/>
        </w:rPr>
        <w:t>Average loan size $13,600.</w:t>
      </w:r>
      <w:r w:rsidRPr="00876FE2">
        <w:rPr>
          <w:rFonts w:eastAsia="Times New Roman" w:cs="Courier New"/>
          <w:color w:val="000000"/>
          <w:szCs w:val="20"/>
        </w:rPr>
        <w:br/>
      </w:r>
    </w:p>
    <w:p w:rsidR="00453437" w:rsidRPr="00452887" w:rsidRDefault="00453437" w:rsidP="00453437">
      <w:pPr>
        <w:pStyle w:val="ListParagraph"/>
        <w:numPr>
          <w:ilvl w:val="2"/>
          <w:numId w:val="2"/>
        </w:numPr>
        <w:rPr>
          <w:u w:val="single"/>
        </w:rPr>
      </w:pPr>
      <w:r w:rsidRPr="00452887">
        <w:rPr>
          <w:rFonts w:cs="GalliardITCbyBT-Bold"/>
          <w:b/>
          <w:bCs/>
          <w:u w:val="single"/>
        </w:rPr>
        <w:t>Residential Appliance Program</w:t>
      </w:r>
    </w:p>
    <w:p w:rsidR="00453437" w:rsidRDefault="00453437" w:rsidP="00453437">
      <w:pPr>
        <w:autoSpaceDE w:val="0"/>
        <w:autoSpaceDN w:val="0"/>
        <w:adjustRightInd w:val="0"/>
        <w:spacing w:line="240" w:lineRule="auto"/>
        <w:ind w:left="2160"/>
        <w:rPr>
          <w:rFonts w:cs="GalliardITCbyBT-Roman"/>
        </w:rPr>
      </w:pPr>
    </w:p>
    <w:p w:rsidR="00876FE2" w:rsidRDefault="00876FE2" w:rsidP="00876FE2">
      <w:pPr>
        <w:spacing w:line="240" w:lineRule="auto"/>
      </w:pPr>
      <w:r>
        <w:t xml:space="preserve">Staff projects it will finish the fiscal year at 143% of our program </w:t>
      </w:r>
      <w:proofErr w:type="spellStart"/>
      <w:r>
        <w:t>MWh</w:t>
      </w:r>
      <w:proofErr w:type="spellEnd"/>
      <w:r>
        <w:t xml:space="preserve"> goal while expending only 62% of total budget.</w:t>
      </w:r>
    </w:p>
    <w:p w:rsidR="00700FC9" w:rsidRDefault="00700FC9" w:rsidP="004732C5"/>
    <w:p w:rsidR="00453437" w:rsidRDefault="00453437" w:rsidP="006B20AC">
      <w:pPr>
        <w:keepNext/>
        <w:autoSpaceDE w:val="0"/>
        <w:autoSpaceDN w:val="0"/>
        <w:adjustRightInd w:val="0"/>
        <w:spacing w:line="240" w:lineRule="auto"/>
        <w:ind w:left="2160"/>
        <w:rPr>
          <w:rFonts w:cs="GalliardITCbyBT-Bold"/>
          <w:b/>
          <w:bCs/>
        </w:rPr>
      </w:pPr>
      <w:proofErr w:type="gramStart"/>
      <w:r w:rsidRPr="00452887">
        <w:rPr>
          <w:rFonts w:cs="GalliardITCbyBT-Bold"/>
          <w:b/>
          <w:bCs/>
        </w:rPr>
        <w:t>v</w:t>
      </w:r>
      <w:r w:rsidRPr="00CF46D6">
        <w:rPr>
          <w:rFonts w:cs="GalliardITCbyBT-Bold"/>
          <w:bCs/>
        </w:rPr>
        <w:t xml:space="preserve">. </w:t>
      </w:r>
      <w:r>
        <w:rPr>
          <w:rFonts w:cs="GalliardITCbyBT-Bold"/>
          <w:b/>
          <w:bCs/>
        </w:rPr>
        <w:t xml:space="preserve"> </w:t>
      </w:r>
      <w:r w:rsidRPr="00452887">
        <w:rPr>
          <w:rFonts w:cs="GalliardITCbyBT-Bold"/>
          <w:b/>
          <w:bCs/>
          <w:u w:val="single"/>
        </w:rPr>
        <w:t>Residential</w:t>
      </w:r>
      <w:proofErr w:type="gramEnd"/>
      <w:r w:rsidRPr="00452887">
        <w:rPr>
          <w:rFonts w:cs="GalliardITCbyBT-Bold"/>
          <w:b/>
          <w:bCs/>
          <w:u w:val="single"/>
        </w:rPr>
        <w:t xml:space="preserve"> Lighting Program</w:t>
      </w:r>
    </w:p>
    <w:p w:rsidR="004732C5" w:rsidRDefault="004732C5" w:rsidP="006B20AC">
      <w:pPr>
        <w:keepNext/>
        <w:rPr>
          <w:rFonts w:cs="GalliardITCbyBT-Bold"/>
          <w:bCs/>
        </w:rPr>
      </w:pPr>
    </w:p>
    <w:p w:rsidR="00F15C32" w:rsidRDefault="00F66166" w:rsidP="00F15C32">
      <w:pPr>
        <w:spacing w:line="240" w:lineRule="auto"/>
      </w:pPr>
      <w:r>
        <w:t>With five weeks remaining in the fiscal and program year, s</w:t>
      </w:r>
      <w:r w:rsidR="00F15C32">
        <w:t xml:space="preserve">taff and the Delivery Team are planning a major promotion in June with  that we project will enable us to finish the fiscal year at 89MWh, or 109% of our stretch 81MWh goal, while and spending only 86% of budget.  </w:t>
      </w:r>
      <w:r>
        <w:t xml:space="preserve">The program is on track to </w:t>
      </w:r>
      <w:r w:rsidR="001E2607">
        <w:t xml:space="preserve">nearly </w:t>
      </w:r>
      <w:r>
        <w:t xml:space="preserve">double </w:t>
      </w:r>
      <w:r w:rsidR="001E2607">
        <w:t xml:space="preserve">energy savings and </w:t>
      </w:r>
      <w:r>
        <w:t>sales of CFL’s from the prior year.</w:t>
      </w:r>
    </w:p>
    <w:p w:rsidR="00936EB3" w:rsidRDefault="00936EB3" w:rsidP="00F15C32">
      <w:pPr>
        <w:spacing w:line="240" w:lineRule="auto"/>
      </w:pPr>
    </w:p>
    <w:p w:rsidR="00F66166" w:rsidRDefault="00F66166" w:rsidP="00F15C32">
      <w:pPr>
        <w:spacing w:line="240" w:lineRule="auto"/>
      </w:pPr>
      <w:r w:rsidRPr="00F66166">
        <w:rPr>
          <w:noProof/>
        </w:rPr>
        <w:drawing>
          <wp:inline distT="0" distB="0" distL="0" distR="0">
            <wp:extent cx="5721792" cy="1866651"/>
            <wp:effectExtent l="19050" t="0" r="12258" b="24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3437" w:rsidRDefault="00453437" w:rsidP="004732C5"/>
    <w:p w:rsidR="00452887" w:rsidRDefault="00452887" w:rsidP="00453437">
      <w:pPr>
        <w:jc w:val="center"/>
      </w:pPr>
    </w:p>
    <w:p w:rsidR="00A40A5D" w:rsidRDefault="00EE52E2" w:rsidP="00EE52E2">
      <w:r w:rsidRPr="00EE52E2">
        <w:rPr>
          <w:noProof/>
        </w:rPr>
        <w:drawing>
          <wp:inline distT="0" distB="0" distL="0" distR="0">
            <wp:extent cx="6083964" cy="2361537"/>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00392" cy="2367914"/>
                    </a:xfrm>
                    <a:prstGeom prst="rect">
                      <a:avLst/>
                    </a:prstGeom>
                    <a:noFill/>
                    <a:ln w="9525">
                      <a:noFill/>
                      <a:miter lim="800000"/>
                      <a:headEnd/>
                      <a:tailEnd/>
                    </a:ln>
                  </pic:spPr>
                </pic:pic>
              </a:graphicData>
            </a:graphic>
          </wp:inline>
        </w:drawing>
      </w:r>
    </w:p>
    <w:p w:rsidR="006F6323" w:rsidRDefault="006F6323" w:rsidP="00A40A5D"/>
    <w:p w:rsidR="00A40A5D" w:rsidRDefault="001E2607" w:rsidP="00A40A5D">
      <w:r>
        <w:t>Staff is preparing to celebrate e</w:t>
      </w:r>
      <w:r w:rsidR="00A40A5D">
        <w:t>ight years of successfully transforming the</w:t>
      </w:r>
      <w:r w:rsidR="006F6323">
        <w:t xml:space="preserve"> residential lighting</w:t>
      </w:r>
      <w:r w:rsidR="00A40A5D">
        <w:t xml:space="preserve"> market</w:t>
      </w:r>
      <w:r w:rsidR="006F6323">
        <w:t xml:space="preserve"> in Maine</w:t>
      </w:r>
      <w:r w:rsidR="00A40A5D">
        <w:t>:</w:t>
      </w:r>
    </w:p>
    <w:p w:rsidR="00A40A5D" w:rsidRDefault="00A40A5D" w:rsidP="00A40A5D"/>
    <w:p w:rsidR="00F66166" w:rsidRDefault="00F66166" w:rsidP="00453437">
      <w:pPr>
        <w:jc w:val="center"/>
      </w:pPr>
      <w:r w:rsidRPr="00F66166">
        <w:rPr>
          <w:noProof/>
        </w:rPr>
        <w:drawing>
          <wp:inline distT="0" distB="0" distL="0" distR="0">
            <wp:extent cx="5943600" cy="129988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1299882"/>
                    </a:xfrm>
                    <a:prstGeom prst="rect">
                      <a:avLst/>
                    </a:prstGeom>
                    <a:noFill/>
                    <a:ln w="9525">
                      <a:noFill/>
                      <a:miter lim="800000"/>
                      <a:headEnd/>
                      <a:tailEnd/>
                    </a:ln>
                  </pic:spPr>
                </pic:pic>
              </a:graphicData>
            </a:graphic>
          </wp:inline>
        </w:drawing>
      </w:r>
    </w:p>
    <w:p w:rsidR="00F66166" w:rsidRDefault="00452887" w:rsidP="00452887">
      <w:r>
        <w:tab/>
      </w:r>
      <w:r>
        <w:tab/>
      </w:r>
      <w:r>
        <w:tab/>
      </w:r>
    </w:p>
    <w:p w:rsidR="00452887" w:rsidRPr="00452887" w:rsidRDefault="00452887" w:rsidP="00F66166">
      <w:pPr>
        <w:ind w:left="2160" w:firstLine="720"/>
        <w:rPr>
          <w:b/>
        </w:rPr>
      </w:pPr>
      <w:r w:rsidRPr="00452887">
        <w:rPr>
          <w:b/>
        </w:rPr>
        <w:t>v</w:t>
      </w:r>
      <w:r>
        <w:rPr>
          <w:b/>
        </w:rPr>
        <w:t>i</w:t>
      </w:r>
      <w:r w:rsidRPr="00452887">
        <w:rPr>
          <w:b/>
        </w:rPr>
        <w:t xml:space="preserve">.   </w:t>
      </w:r>
      <w:r w:rsidRPr="00452887">
        <w:rPr>
          <w:b/>
          <w:u w:val="single"/>
        </w:rPr>
        <w:t>Replacement Heating Equipment</w:t>
      </w:r>
    </w:p>
    <w:p w:rsidR="006F6323" w:rsidRDefault="006F6323" w:rsidP="006F6323">
      <w:pPr>
        <w:spacing w:line="240" w:lineRule="auto"/>
        <w:rPr>
          <w:u w:val="single"/>
        </w:rPr>
      </w:pPr>
    </w:p>
    <w:p w:rsidR="006F6323" w:rsidRDefault="006F6323" w:rsidP="006F6323">
      <w:pPr>
        <w:spacing w:line="240" w:lineRule="auto"/>
      </w:pPr>
      <w:r w:rsidRPr="006F6323">
        <w:t xml:space="preserve">The program is </w:t>
      </w:r>
      <w:r>
        <w:t xml:space="preserve">on track to have 100% of funds invested in October, reaching 101% of unit goal, but only 77% of </w:t>
      </w:r>
      <w:proofErr w:type="spellStart"/>
      <w:r>
        <w:t>MWh</w:t>
      </w:r>
      <w:proofErr w:type="spellEnd"/>
      <w:r>
        <w:t xml:space="preserve"> savings goal (14,896MWh).</w:t>
      </w:r>
    </w:p>
    <w:p w:rsidR="00452887" w:rsidRPr="00452887" w:rsidRDefault="00452887" w:rsidP="004732C5">
      <w:pPr>
        <w:spacing w:line="240" w:lineRule="auto"/>
      </w:pPr>
    </w:p>
    <w:p w:rsidR="00452887" w:rsidRPr="009F2F88" w:rsidRDefault="00452887" w:rsidP="00452887"/>
    <w:p w:rsidR="008C6349" w:rsidRDefault="000810AA" w:rsidP="000810AA">
      <w:pPr>
        <w:ind w:left="720" w:firstLine="720"/>
        <w:rPr>
          <w:b/>
        </w:rPr>
      </w:pPr>
      <w:proofErr w:type="gramStart"/>
      <w:r>
        <w:rPr>
          <w:b/>
        </w:rPr>
        <w:t>c</w:t>
      </w:r>
      <w:proofErr w:type="gramEnd"/>
      <w:r>
        <w:rPr>
          <w:b/>
        </w:rPr>
        <w:t>.</w:t>
      </w:r>
      <w:r w:rsidR="008C6349" w:rsidRPr="008C6349">
        <w:rPr>
          <w:b/>
        </w:rPr>
        <w:t>.</w:t>
      </w:r>
      <w:r w:rsidR="008C6349" w:rsidRPr="008C6349">
        <w:rPr>
          <w:b/>
        </w:rPr>
        <w:tab/>
      </w:r>
      <w:r w:rsidR="00461304">
        <w:rPr>
          <w:b/>
        </w:rPr>
        <w:t>Enabling Strategies</w:t>
      </w:r>
    </w:p>
    <w:p w:rsidR="00461304" w:rsidRDefault="00461304" w:rsidP="00CF46D6">
      <w:pPr>
        <w:rPr>
          <w:b/>
        </w:rPr>
      </w:pPr>
    </w:p>
    <w:p w:rsidR="00461304" w:rsidRDefault="000810AA" w:rsidP="000810AA">
      <w:pPr>
        <w:ind w:left="2160"/>
        <w:rPr>
          <w:b/>
        </w:rPr>
      </w:pPr>
      <w:proofErr w:type="spellStart"/>
      <w:proofErr w:type="gramStart"/>
      <w:r>
        <w:rPr>
          <w:b/>
        </w:rPr>
        <w:t>i</w:t>
      </w:r>
      <w:proofErr w:type="spellEnd"/>
      <w:r w:rsidR="00461304">
        <w:rPr>
          <w:b/>
        </w:rPr>
        <w:t>.  Education</w:t>
      </w:r>
      <w:proofErr w:type="gramEnd"/>
      <w:r w:rsidR="00461304">
        <w:rPr>
          <w:b/>
        </w:rPr>
        <w:t xml:space="preserve"> and Training</w:t>
      </w:r>
    </w:p>
    <w:p w:rsidR="000125E2" w:rsidRDefault="000125E2" w:rsidP="00CF46D6"/>
    <w:p w:rsidR="00936EB3" w:rsidRDefault="00936EB3" w:rsidP="00D77D1B">
      <w:r>
        <w:t>Staff announced its notice of award for multiple winners of the RFP for the first round of proposals to provide education and training programs.  The winners announced were:</w:t>
      </w:r>
    </w:p>
    <w:p w:rsidR="00936EB3" w:rsidRDefault="00936EB3" w:rsidP="00D77D1B"/>
    <w:p w:rsidR="00936EB3" w:rsidRDefault="00936EB3" w:rsidP="00936EB3">
      <w:pPr>
        <w:pStyle w:val="ListParagraph"/>
        <w:numPr>
          <w:ilvl w:val="0"/>
          <w:numId w:val="35"/>
        </w:numPr>
        <w:ind w:left="1080"/>
      </w:pPr>
      <w:r>
        <w:t>Maine Indoor Air Quality Council for a project with residential builders and related vendors;</w:t>
      </w:r>
    </w:p>
    <w:p w:rsidR="00936EB3" w:rsidRDefault="00936EB3" w:rsidP="00936EB3">
      <w:pPr>
        <w:pStyle w:val="ListParagraph"/>
        <w:numPr>
          <w:ilvl w:val="0"/>
          <w:numId w:val="35"/>
        </w:numPr>
        <w:ind w:left="1080"/>
      </w:pPr>
      <w:r>
        <w:t>Energy and Resource Solutions for a project to provide training in the commercial/industrial sectors; and,</w:t>
      </w:r>
    </w:p>
    <w:p w:rsidR="00936EB3" w:rsidRPr="00936EB3" w:rsidRDefault="00936EB3" w:rsidP="00936EB3">
      <w:pPr>
        <w:pStyle w:val="ListParagraph"/>
        <w:numPr>
          <w:ilvl w:val="0"/>
          <w:numId w:val="35"/>
        </w:numPr>
        <w:ind w:left="1080"/>
        <w:rPr>
          <w:b/>
          <w:bCs/>
        </w:rPr>
      </w:pPr>
      <w:r>
        <w:t xml:space="preserve">Maine Energy Education </w:t>
      </w:r>
      <w:r w:rsidR="00B07E1C">
        <w:t xml:space="preserve">Program  for its implementation of the </w:t>
      </w:r>
      <w:r>
        <w:t xml:space="preserve">Schools for Energy Efficiency </w:t>
      </w:r>
      <w:r w:rsidR="00B07E1C">
        <w:t xml:space="preserve">(SEE) </w:t>
      </w:r>
      <w:r>
        <w:t>program that has been piloted in Minnesota and delivered cost-effective savings at schools while enlisting the help of students, teachers and school administrators.</w:t>
      </w:r>
    </w:p>
    <w:p w:rsidR="00936EB3" w:rsidRDefault="00936EB3" w:rsidP="00936EB3">
      <w:pPr>
        <w:pStyle w:val="ListParagraph"/>
        <w:ind w:left="2160"/>
        <w:rPr>
          <w:b/>
          <w:bCs/>
        </w:rPr>
      </w:pPr>
    </w:p>
    <w:p w:rsidR="005657A3" w:rsidRDefault="005657A3" w:rsidP="005657A3">
      <w:pPr>
        <w:pStyle w:val="ListParagraph"/>
        <w:ind w:left="0"/>
      </w:pPr>
      <w:r>
        <w:t>There will be one or more additional rounds of Education and Training RFPs issued over the next 12 months.</w:t>
      </w:r>
    </w:p>
    <w:p w:rsidR="005657A3" w:rsidRDefault="005657A3" w:rsidP="005657A3">
      <w:pPr>
        <w:pStyle w:val="ListParagraph"/>
        <w:ind w:left="0"/>
        <w:rPr>
          <w:b/>
          <w:bCs/>
        </w:rPr>
      </w:pPr>
    </w:p>
    <w:p w:rsidR="00B07E1C" w:rsidRPr="00B07E1C" w:rsidRDefault="00B07E1C" w:rsidP="00B07E1C">
      <w:r w:rsidRPr="00B07E1C">
        <w:rPr>
          <w:bCs/>
        </w:rPr>
        <w:t>The schedule for trainings for Commercial Energy Auditor II is taking shape as follows</w:t>
      </w:r>
      <w:r>
        <w:rPr>
          <w:b/>
          <w:bCs/>
        </w:rPr>
        <w:t xml:space="preserve"> </w:t>
      </w:r>
      <w:r>
        <w:t>at Eastern Maine Community College:  8/23, 8/24, 10/4, 10/5, 9/13, 9/14, 10/25.</w:t>
      </w:r>
    </w:p>
    <w:p w:rsidR="00B07E1C" w:rsidRPr="00936EB3" w:rsidRDefault="00B07E1C" w:rsidP="00936EB3">
      <w:pPr>
        <w:pStyle w:val="ListParagraph"/>
        <w:ind w:left="2160"/>
        <w:rPr>
          <w:b/>
          <w:bCs/>
        </w:rPr>
      </w:pPr>
    </w:p>
    <w:p w:rsidR="00936EB3" w:rsidRDefault="000810AA" w:rsidP="000810AA">
      <w:pPr>
        <w:ind w:left="2160"/>
        <w:rPr>
          <w:b/>
          <w:bCs/>
        </w:rPr>
      </w:pPr>
      <w:r>
        <w:rPr>
          <w:b/>
        </w:rPr>
        <w:t>ii</w:t>
      </w:r>
      <w:r w:rsidR="00936EB3" w:rsidRPr="00B07E1C">
        <w:rPr>
          <w:b/>
        </w:rPr>
        <w:t>.</w:t>
      </w:r>
      <w:r w:rsidR="00936EB3">
        <w:t xml:space="preserve">   </w:t>
      </w:r>
      <w:r w:rsidR="00936EB3">
        <w:rPr>
          <w:b/>
          <w:bCs/>
        </w:rPr>
        <w:t>Innovation</w:t>
      </w:r>
    </w:p>
    <w:p w:rsidR="00936EB3" w:rsidRDefault="00936EB3" w:rsidP="00936EB3">
      <w:pPr>
        <w:ind w:left="1440"/>
        <w:rPr>
          <w:b/>
          <w:bCs/>
        </w:rPr>
      </w:pPr>
    </w:p>
    <w:p w:rsidR="00936EB3" w:rsidRDefault="00B07E1C" w:rsidP="00B07E1C">
      <w:r>
        <w:t xml:space="preserve">Staff announced its notice of award for the Innovation RFP to </w:t>
      </w:r>
      <w:r w:rsidR="00936EB3">
        <w:t xml:space="preserve">Investment Engineering for </w:t>
      </w:r>
      <w:r>
        <w:t xml:space="preserve">its proposal to pilot the installation and operation of </w:t>
      </w:r>
      <w:r w:rsidR="00936EB3">
        <w:t xml:space="preserve">micro Combined Heat and Power </w:t>
      </w:r>
      <w:r>
        <w:t xml:space="preserve">units.   Though invited to do so, Thermal Energy Storage of Maine did not submit a proposal for the RFP.  There will be one or more additional rounds of Innovation RFPs issued </w:t>
      </w:r>
      <w:r w:rsidR="005657A3">
        <w:t>over the next 12 months.</w:t>
      </w:r>
    </w:p>
    <w:p w:rsidR="00B07E1C" w:rsidRDefault="00B07E1C" w:rsidP="00B07E1C"/>
    <w:p w:rsidR="00B07E1C" w:rsidRPr="00B07E1C" w:rsidRDefault="000810AA" w:rsidP="000810AA">
      <w:pPr>
        <w:ind w:left="1440" w:firstLine="720"/>
        <w:rPr>
          <w:b/>
        </w:rPr>
      </w:pPr>
      <w:r>
        <w:rPr>
          <w:b/>
        </w:rPr>
        <w:t>iii</w:t>
      </w:r>
      <w:proofErr w:type="gramStart"/>
      <w:r w:rsidR="00B07E1C" w:rsidRPr="00B07E1C">
        <w:rPr>
          <w:b/>
        </w:rPr>
        <w:t>.  Evaluation</w:t>
      </w:r>
      <w:proofErr w:type="gramEnd"/>
    </w:p>
    <w:p w:rsidR="00936EB3" w:rsidRDefault="00936EB3" w:rsidP="00D77D1B"/>
    <w:p w:rsidR="00B07E1C" w:rsidRPr="003E71A2" w:rsidRDefault="00B07E1C" w:rsidP="00D77D1B">
      <w:r>
        <w:t>Evaluation projects have been awarded and/or are starting up to review the performance of numerous Trust programs of the past year (or more) as described in other sections of this Executive Director’s report and the Executive Director’s report from last month.</w:t>
      </w:r>
    </w:p>
    <w:sectPr w:rsidR="00B07E1C" w:rsidRPr="003E71A2" w:rsidSect="00D87BC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96" w:rsidRDefault="008A5B96" w:rsidP="00FD4D2A">
      <w:pPr>
        <w:spacing w:line="240" w:lineRule="auto"/>
      </w:pPr>
      <w:r>
        <w:separator/>
      </w:r>
    </w:p>
  </w:endnote>
  <w:endnote w:type="continuationSeparator" w:id="0">
    <w:p w:rsidR="008A5B96" w:rsidRDefault="008A5B96" w:rsidP="00FD4D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lliardITCbyBT-Roman">
    <w:panose1 w:val="00000000000000000000"/>
    <w:charset w:val="00"/>
    <w:family w:val="roman"/>
    <w:notTrueType/>
    <w:pitch w:val="default"/>
    <w:sig w:usb0="00000003" w:usb1="00000000" w:usb2="00000000" w:usb3="00000000" w:csb0="00000001" w:csb1="00000000"/>
  </w:font>
  <w:font w:name="GalliardITCby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89751"/>
      <w:docPartObj>
        <w:docPartGallery w:val="Page Numbers (Bottom of Page)"/>
        <w:docPartUnique/>
      </w:docPartObj>
    </w:sdtPr>
    <w:sdtContent>
      <w:p w:rsidR="00936EB3" w:rsidRDefault="00A468E3">
        <w:pPr>
          <w:pStyle w:val="Footer"/>
          <w:jc w:val="right"/>
        </w:pPr>
        <w:fldSimple w:instr=" PAGE   \* MERGEFORMAT ">
          <w:r w:rsidR="00181BC9">
            <w:rPr>
              <w:noProof/>
            </w:rPr>
            <w:t>1</w:t>
          </w:r>
        </w:fldSimple>
      </w:p>
    </w:sdtContent>
  </w:sdt>
  <w:p w:rsidR="00936EB3" w:rsidRDefault="00936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96" w:rsidRDefault="008A5B96" w:rsidP="00FD4D2A">
      <w:pPr>
        <w:spacing w:line="240" w:lineRule="auto"/>
      </w:pPr>
      <w:r>
        <w:separator/>
      </w:r>
    </w:p>
  </w:footnote>
  <w:footnote w:type="continuationSeparator" w:id="0">
    <w:p w:rsidR="008A5B96" w:rsidRDefault="008A5B96" w:rsidP="00FD4D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D29"/>
    <w:multiLevelType w:val="hybridMultilevel"/>
    <w:tmpl w:val="556A1F00"/>
    <w:lvl w:ilvl="0" w:tplc="782EE374">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E16069"/>
    <w:multiLevelType w:val="hybridMultilevel"/>
    <w:tmpl w:val="DC0EA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403B84"/>
    <w:multiLevelType w:val="hybridMultilevel"/>
    <w:tmpl w:val="E33AEB2A"/>
    <w:lvl w:ilvl="0" w:tplc="5B90F55A">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E33FCD"/>
    <w:multiLevelType w:val="hybridMultilevel"/>
    <w:tmpl w:val="B6A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C4D7D"/>
    <w:multiLevelType w:val="hybridMultilevel"/>
    <w:tmpl w:val="0CAA199C"/>
    <w:lvl w:ilvl="0" w:tplc="814A80C2">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02C33"/>
    <w:multiLevelType w:val="hybridMultilevel"/>
    <w:tmpl w:val="A6C2EA1A"/>
    <w:lvl w:ilvl="0" w:tplc="C9EE5262">
      <w:numFmt w:val="bullet"/>
      <w:lvlText w:val=""/>
      <w:lvlJc w:val="left"/>
      <w:pPr>
        <w:ind w:left="1125"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06761"/>
    <w:multiLevelType w:val="hybridMultilevel"/>
    <w:tmpl w:val="8DE29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424F8F"/>
    <w:multiLevelType w:val="hybridMultilevel"/>
    <w:tmpl w:val="F35E0F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E13A1B"/>
    <w:multiLevelType w:val="hybridMultilevel"/>
    <w:tmpl w:val="D37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53933"/>
    <w:multiLevelType w:val="hybridMultilevel"/>
    <w:tmpl w:val="08421142"/>
    <w:lvl w:ilvl="0" w:tplc="5B90F55A">
      <w:start w:val="1"/>
      <w:numFmt w:val="upperRoman"/>
      <w:lvlText w:val="%1."/>
      <w:lvlJc w:val="left"/>
      <w:pPr>
        <w:ind w:left="1440" w:hanging="720"/>
      </w:pPr>
      <w:rPr>
        <w:rFonts w:hint="default"/>
      </w:rPr>
    </w:lvl>
    <w:lvl w:ilvl="1" w:tplc="CC9652BE">
      <w:start w:val="1"/>
      <w:numFmt w:val="lowerLetter"/>
      <w:lvlText w:val="%2."/>
      <w:lvlJc w:val="left"/>
      <w:pPr>
        <w:ind w:left="1800" w:hanging="360"/>
      </w:pPr>
      <w:rPr>
        <w:b/>
      </w:rPr>
    </w:lvl>
    <w:lvl w:ilvl="2" w:tplc="4C4A06A6">
      <w:start w:val="1"/>
      <w:numFmt w:val="lowerRoman"/>
      <w:lvlText w:val="%3."/>
      <w:lvlJc w:val="right"/>
      <w:pPr>
        <w:ind w:left="2520" w:hanging="180"/>
      </w:pPr>
      <w:rPr>
        <w:b/>
      </w:rPr>
    </w:lvl>
    <w:lvl w:ilvl="3" w:tplc="B0682ACE">
      <w:start w:val="1"/>
      <w:numFmt w:val="decimal"/>
      <w:lvlText w:val="%4."/>
      <w:lvlJc w:val="left"/>
      <w:pPr>
        <w:ind w:left="3240" w:hanging="360"/>
      </w:pPr>
      <w:rPr>
        <w:rFonts w:ascii="Calibri" w:hAnsi="Calibri"/>
        <w:sz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9A4FFC"/>
    <w:multiLevelType w:val="hybridMultilevel"/>
    <w:tmpl w:val="998C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B410C"/>
    <w:multiLevelType w:val="hybridMultilevel"/>
    <w:tmpl w:val="7C5C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2560A"/>
    <w:multiLevelType w:val="hybridMultilevel"/>
    <w:tmpl w:val="D888607C"/>
    <w:lvl w:ilvl="0" w:tplc="C9EE5262">
      <w:numFmt w:val="bullet"/>
      <w:lvlText w:val=""/>
      <w:lvlJc w:val="left"/>
      <w:pPr>
        <w:ind w:left="1125" w:hanging="360"/>
      </w:pPr>
      <w:rPr>
        <w:rFonts w:ascii="Symbol" w:eastAsiaTheme="minorHAnsi" w:hAnsi="Symbol"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300C7E5F"/>
    <w:multiLevelType w:val="hybridMultilevel"/>
    <w:tmpl w:val="8FC058DC"/>
    <w:lvl w:ilvl="0" w:tplc="C9EE5262">
      <w:numFmt w:val="bullet"/>
      <w:lvlText w:val=""/>
      <w:lvlJc w:val="left"/>
      <w:pPr>
        <w:ind w:left="1163" w:hanging="360"/>
      </w:pPr>
      <w:rPr>
        <w:rFonts w:ascii="Symbol" w:eastAsiaTheme="minorHAnsi" w:hAnsi="Symbol"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nsid w:val="32994E57"/>
    <w:multiLevelType w:val="hybridMultilevel"/>
    <w:tmpl w:val="E95287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CC5186"/>
    <w:multiLevelType w:val="hybridMultilevel"/>
    <w:tmpl w:val="F2204C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75671"/>
    <w:multiLevelType w:val="hybridMultilevel"/>
    <w:tmpl w:val="DA5462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09C6A80"/>
    <w:multiLevelType w:val="hybridMultilevel"/>
    <w:tmpl w:val="48A43EF0"/>
    <w:lvl w:ilvl="0" w:tplc="1CDC8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779CE"/>
    <w:multiLevelType w:val="hybridMultilevel"/>
    <w:tmpl w:val="90406220"/>
    <w:lvl w:ilvl="0" w:tplc="466645AE">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6F61835"/>
    <w:multiLevelType w:val="hybridMultilevel"/>
    <w:tmpl w:val="9976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D6EBB"/>
    <w:multiLevelType w:val="hybridMultilevel"/>
    <w:tmpl w:val="75CC90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1A444C"/>
    <w:multiLevelType w:val="hybridMultilevel"/>
    <w:tmpl w:val="D7B86A0C"/>
    <w:lvl w:ilvl="0" w:tplc="C9EE5262">
      <w:numFmt w:val="bullet"/>
      <w:lvlText w:val=""/>
      <w:lvlJc w:val="left"/>
      <w:pPr>
        <w:ind w:left="1890" w:hanging="360"/>
      </w:pPr>
      <w:rPr>
        <w:rFonts w:ascii="Symbol" w:eastAsiaTheme="minorHAnsi" w:hAnsi="Symbol"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505C23D3"/>
    <w:multiLevelType w:val="hybridMultilevel"/>
    <w:tmpl w:val="FD6812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3372F50"/>
    <w:multiLevelType w:val="hybridMultilevel"/>
    <w:tmpl w:val="B186D8B4"/>
    <w:lvl w:ilvl="0" w:tplc="2A241DDA">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CF74672"/>
    <w:multiLevelType w:val="hybridMultilevel"/>
    <w:tmpl w:val="F180856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E0C2BAD"/>
    <w:multiLevelType w:val="hybridMultilevel"/>
    <w:tmpl w:val="B848560E"/>
    <w:lvl w:ilvl="0" w:tplc="0409000F">
      <w:start w:val="1"/>
      <w:numFmt w:val="decimal"/>
      <w:lvlText w:val="%1."/>
      <w:lvlJc w:val="left"/>
      <w:pPr>
        <w:ind w:left="432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5ECD3346"/>
    <w:multiLevelType w:val="hybridMultilevel"/>
    <w:tmpl w:val="A63C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505F15"/>
    <w:multiLevelType w:val="hybridMultilevel"/>
    <w:tmpl w:val="EED2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336DD2"/>
    <w:multiLevelType w:val="hybridMultilevel"/>
    <w:tmpl w:val="D40429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67425B"/>
    <w:multiLevelType w:val="hybridMultilevel"/>
    <w:tmpl w:val="E0E07222"/>
    <w:lvl w:ilvl="0" w:tplc="C9EE5262">
      <w:numFmt w:val="bullet"/>
      <w:lvlText w:val=""/>
      <w:lvlJc w:val="left"/>
      <w:pPr>
        <w:ind w:left="1125"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F619C"/>
    <w:multiLevelType w:val="hybridMultilevel"/>
    <w:tmpl w:val="E68E9D6A"/>
    <w:lvl w:ilvl="0" w:tplc="C9EE5262">
      <w:numFmt w:val="bullet"/>
      <w:lvlText w:val=""/>
      <w:lvlJc w:val="left"/>
      <w:pPr>
        <w:ind w:left="2250" w:hanging="360"/>
      </w:pPr>
      <w:rPr>
        <w:rFonts w:ascii="Symbol" w:eastAsiaTheme="minorHAnsi" w:hAnsi="Symbol"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1">
    <w:nsid w:val="6EDD65A3"/>
    <w:multiLevelType w:val="hybridMultilevel"/>
    <w:tmpl w:val="C67E72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95754B3"/>
    <w:multiLevelType w:val="hybridMultilevel"/>
    <w:tmpl w:val="528C1832"/>
    <w:lvl w:ilvl="0" w:tplc="2DF2100E">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A8A5923"/>
    <w:multiLevelType w:val="hybridMultilevel"/>
    <w:tmpl w:val="93B85E9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7"/>
  </w:num>
  <w:num w:numId="2">
    <w:abstractNumId w:val="9"/>
  </w:num>
  <w:num w:numId="3">
    <w:abstractNumId w:val="15"/>
  </w:num>
  <w:num w:numId="4">
    <w:abstractNumId w:val="2"/>
  </w:num>
  <w:num w:numId="5">
    <w:abstractNumId w:val="2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4"/>
  </w:num>
  <w:num w:numId="10">
    <w:abstractNumId w:val="3"/>
  </w:num>
  <w:num w:numId="11">
    <w:abstractNumId w:val="11"/>
  </w:num>
  <w:num w:numId="12">
    <w:abstractNumId w:val="1"/>
  </w:num>
  <w:num w:numId="13">
    <w:abstractNumId w:val="10"/>
  </w:num>
  <w:num w:numId="14">
    <w:abstractNumId w:val="27"/>
  </w:num>
  <w:num w:numId="15">
    <w:abstractNumId w:val="19"/>
  </w:num>
  <w:num w:numId="16">
    <w:abstractNumId w:val="26"/>
  </w:num>
  <w:num w:numId="17">
    <w:abstractNumId w:val="8"/>
  </w:num>
  <w:num w:numId="18">
    <w:abstractNumId w:val="6"/>
  </w:num>
  <w:num w:numId="19">
    <w:abstractNumId w:val="31"/>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8"/>
  </w:num>
  <w:num w:numId="25">
    <w:abstractNumId w:val="4"/>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3"/>
  </w:num>
  <w:num w:numId="29">
    <w:abstractNumId w:val="12"/>
  </w:num>
  <w:num w:numId="30">
    <w:abstractNumId w:val="21"/>
  </w:num>
  <w:num w:numId="31">
    <w:abstractNumId w:val="5"/>
  </w:num>
  <w:num w:numId="32">
    <w:abstractNumId w:val="30"/>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60A78"/>
    <w:rsid w:val="000125E2"/>
    <w:rsid w:val="00057744"/>
    <w:rsid w:val="00067BE0"/>
    <w:rsid w:val="00073852"/>
    <w:rsid w:val="000810AA"/>
    <w:rsid w:val="000B208E"/>
    <w:rsid w:val="000B361A"/>
    <w:rsid w:val="000C4F27"/>
    <w:rsid w:val="001225F1"/>
    <w:rsid w:val="00154117"/>
    <w:rsid w:val="00181BC9"/>
    <w:rsid w:val="00184A5A"/>
    <w:rsid w:val="001911B0"/>
    <w:rsid w:val="001A1298"/>
    <w:rsid w:val="001A5B05"/>
    <w:rsid w:val="001A64BC"/>
    <w:rsid w:val="001B082D"/>
    <w:rsid w:val="001B2348"/>
    <w:rsid w:val="001C6469"/>
    <w:rsid w:val="001C73B3"/>
    <w:rsid w:val="001E2607"/>
    <w:rsid w:val="0020581E"/>
    <w:rsid w:val="00213AB7"/>
    <w:rsid w:val="00214B8A"/>
    <w:rsid w:val="00245E11"/>
    <w:rsid w:val="0024757F"/>
    <w:rsid w:val="00250DBD"/>
    <w:rsid w:val="002513A4"/>
    <w:rsid w:val="0026403D"/>
    <w:rsid w:val="002862CA"/>
    <w:rsid w:val="002926D8"/>
    <w:rsid w:val="002B4F2B"/>
    <w:rsid w:val="002B74A2"/>
    <w:rsid w:val="002C169E"/>
    <w:rsid w:val="002F3DBD"/>
    <w:rsid w:val="002F446A"/>
    <w:rsid w:val="002F709E"/>
    <w:rsid w:val="00315E9E"/>
    <w:rsid w:val="00334E77"/>
    <w:rsid w:val="0033722D"/>
    <w:rsid w:val="00346BD4"/>
    <w:rsid w:val="00347936"/>
    <w:rsid w:val="003644F9"/>
    <w:rsid w:val="00366989"/>
    <w:rsid w:val="003919B5"/>
    <w:rsid w:val="003C5430"/>
    <w:rsid w:val="003D181E"/>
    <w:rsid w:val="003D271B"/>
    <w:rsid w:val="003E71A2"/>
    <w:rsid w:val="003F6422"/>
    <w:rsid w:val="00417A49"/>
    <w:rsid w:val="00423753"/>
    <w:rsid w:val="00447E04"/>
    <w:rsid w:val="004517DA"/>
    <w:rsid w:val="00452887"/>
    <w:rsid w:val="00453437"/>
    <w:rsid w:val="00461304"/>
    <w:rsid w:val="004732C5"/>
    <w:rsid w:val="004A6B37"/>
    <w:rsid w:val="004B2B42"/>
    <w:rsid w:val="004C0614"/>
    <w:rsid w:val="004D23CE"/>
    <w:rsid w:val="004E45E7"/>
    <w:rsid w:val="004F4688"/>
    <w:rsid w:val="005024AC"/>
    <w:rsid w:val="00504D08"/>
    <w:rsid w:val="005216A5"/>
    <w:rsid w:val="00527ACF"/>
    <w:rsid w:val="00531A6B"/>
    <w:rsid w:val="005657A3"/>
    <w:rsid w:val="005716D5"/>
    <w:rsid w:val="00583F6D"/>
    <w:rsid w:val="005F28F0"/>
    <w:rsid w:val="005F2E0E"/>
    <w:rsid w:val="005F3A4B"/>
    <w:rsid w:val="005F77C3"/>
    <w:rsid w:val="00623269"/>
    <w:rsid w:val="00672329"/>
    <w:rsid w:val="006847F4"/>
    <w:rsid w:val="006866C5"/>
    <w:rsid w:val="0068773F"/>
    <w:rsid w:val="006A36E5"/>
    <w:rsid w:val="006A7CFF"/>
    <w:rsid w:val="006B20AC"/>
    <w:rsid w:val="006B4C96"/>
    <w:rsid w:val="006E2177"/>
    <w:rsid w:val="006F5524"/>
    <w:rsid w:val="006F6323"/>
    <w:rsid w:val="00700FC9"/>
    <w:rsid w:val="00702368"/>
    <w:rsid w:val="00715654"/>
    <w:rsid w:val="00736F38"/>
    <w:rsid w:val="00752318"/>
    <w:rsid w:val="00760D74"/>
    <w:rsid w:val="00761752"/>
    <w:rsid w:val="00767A63"/>
    <w:rsid w:val="007B0ACA"/>
    <w:rsid w:val="007B717A"/>
    <w:rsid w:val="007C1252"/>
    <w:rsid w:val="007F260F"/>
    <w:rsid w:val="007F6B37"/>
    <w:rsid w:val="008046A3"/>
    <w:rsid w:val="0086081E"/>
    <w:rsid w:val="00862F66"/>
    <w:rsid w:val="00876FE2"/>
    <w:rsid w:val="008827DE"/>
    <w:rsid w:val="00892114"/>
    <w:rsid w:val="008A5B96"/>
    <w:rsid w:val="008C36DE"/>
    <w:rsid w:val="008C6349"/>
    <w:rsid w:val="008D231E"/>
    <w:rsid w:val="008D7B7E"/>
    <w:rsid w:val="008E2852"/>
    <w:rsid w:val="008E691F"/>
    <w:rsid w:val="00905B4C"/>
    <w:rsid w:val="00906F12"/>
    <w:rsid w:val="009216E8"/>
    <w:rsid w:val="00922DFC"/>
    <w:rsid w:val="009257A0"/>
    <w:rsid w:val="00934130"/>
    <w:rsid w:val="00936EB3"/>
    <w:rsid w:val="0095576A"/>
    <w:rsid w:val="009606C9"/>
    <w:rsid w:val="00962D2D"/>
    <w:rsid w:val="00967127"/>
    <w:rsid w:val="00983E1C"/>
    <w:rsid w:val="009939BA"/>
    <w:rsid w:val="009A2310"/>
    <w:rsid w:val="009E3BCC"/>
    <w:rsid w:val="009F2F88"/>
    <w:rsid w:val="00A01F81"/>
    <w:rsid w:val="00A178F3"/>
    <w:rsid w:val="00A2120B"/>
    <w:rsid w:val="00A40A5D"/>
    <w:rsid w:val="00A4191D"/>
    <w:rsid w:val="00A42685"/>
    <w:rsid w:val="00A43630"/>
    <w:rsid w:val="00A468E3"/>
    <w:rsid w:val="00A525F2"/>
    <w:rsid w:val="00A53BBF"/>
    <w:rsid w:val="00A54A7B"/>
    <w:rsid w:val="00A703D3"/>
    <w:rsid w:val="00A71635"/>
    <w:rsid w:val="00A749EE"/>
    <w:rsid w:val="00A76269"/>
    <w:rsid w:val="00A769EC"/>
    <w:rsid w:val="00A914BA"/>
    <w:rsid w:val="00A95F24"/>
    <w:rsid w:val="00AB2F78"/>
    <w:rsid w:val="00AD459D"/>
    <w:rsid w:val="00AE6C1E"/>
    <w:rsid w:val="00AE79CA"/>
    <w:rsid w:val="00B030F7"/>
    <w:rsid w:val="00B05355"/>
    <w:rsid w:val="00B07E1C"/>
    <w:rsid w:val="00B12590"/>
    <w:rsid w:val="00B13439"/>
    <w:rsid w:val="00B272AE"/>
    <w:rsid w:val="00B4340E"/>
    <w:rsid w:val="00B5613F"/>
    <w:rsid w:val="00B83F95"/>
    <w:rsid w:val="00BB58C5"/>
    <w:rsid w:val="00BD4AC0"/>
    <w:rsid w:val="00C00845"/>
    <w:rsid w:val="00C104BC"/>
    <w:rsid w:val="00C17F34"/>
    <w:rsid w:val="00C30AF7"/>
    <w:rsid w:val="00C60A78"/>
    <w:rsid w:val="00C619E5"/>
    <w:rsid w:val="00C86BDA"/>
    <w:rsid w:val="00C917FF"/>
    <w:rsid w:val="00C949DD"/>
    <w:rsid w:val="00CA6484"/>
    <w:rsid w:val="00CB2CEC"/>
    <w:rsid w:val="00CB4547"/>
    <w:rsid w:val="00CB7F16"/>
    <w:rsid w:val="00CE65A8"/>
    <w:rsid w:val="00CF46D6"/>
    <w:rsid w:val="00CF75A5"/>
    <w:rsid w:val="00D2502E"/>
    <w:rsid w:val="00D457DF"/>
    <w:rsid w:val="00D73B06"/>
    <w:rsid w:val="00D77D1B"/>
    <w:rsid w:val="00D87BCD"/>
    <w:rsid w:val="00D93C89"/>
    <w:rsid w:val="00DB57CC"/>
    <w:rsid w:val="00DC1CA2"/>
    <w:rsid w:val="00DE41CA"/>
    <w:rsid w:val="00DF3575"/>
    <w:rsid w:val="00DF590F"/>
    <w:rsid w:val="00E07519"/>
    <w:rsid w:val="00E13294"/>
    <w:rsid w:val="00E30327"/>
    <w:rsid w:val="00E550E5"/>
    <w:rsid w:val="00E67BEC"/>
    <w:rsid w:val="00E84966"/>
    <w:rsid w:val="00E900D9"/>
    <w:rsid w:val="00E90FB7"/>
    <w:rsid w:val="00EA2AEA"/>
    <w:rsid w:val="00EA444C"/>
    <w:rsid w:val="00EA448C"/>
    <w:rsid w:val="00EA58D0"/>
    <w:rsid w:val="00EC5D31"/>
    <w:rsid w:val="00ED1F3C"/>
    <w:rsid w:val="00EE43C3"/>
    <w:rsid w:val="00EE52E2"/>
    <w:rsid w:val="00EE68AE"/>
    <w:rsid w:val="00EF241E"/>
    <w:rsid w:val="00F0028F"/>
    <w:rsid w:val="00F030A5"/>
    <w:rsid w:val="00F07524"/>
    <w:rsid w:val="00F125D0"/>
    <w:rsid w:val="00F15C32"/>
    <w:rsid w:val="00F34201"/>
    <w:rsid w:val="00F42066"/>
    <w:rsid w:val="00F43B6C"/>
    <w:rsid w:val="00F4542F"/>
    <w:rsid w:val="00F66166"/>
    <w:rsid w:val="00FB1970"/>
    <w:rsid w:val="00FD47A8"/>
    <w:rsid w:val="00FD4D2A"/>
    <w:rsid w:val="00FD6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CD"/>
  </w:style>
  <w:style w:type="paragraph" w:styleId="Heading1">
    <w:name w:val="heading 1"/>
    <w:basedOn w:val="Normal"/>
    <w:link w:val="Heading1Char"/>
    <w:uiPriority w:val="9"/>
    <w:qFormat/>
    <w:rsid w:val="00461304"/>
    <w:pPr>
      <w:spacing w:before="502" w:after="167" w:line="240" w:lineRule="auto"/>
      <w:outlineLvl w:val="0"/>
    </w:pPr>
    <w:rPr>
      <w:rFonts w:ascii="Arial" w:eastAsia="Times New Roman" w:hAnsi="Arial" w:cs="Arial"/>
      <w:b/>
      <w:bCs/>
      <w:color w:val="009B7B"/>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A78"/>
    <w:pPr>
      <w:ind w:left="720"/>
      <w:contextualSpacing/>
    </w:pPr>
  </w:style>
  <w:style w:type="character" w:styleId="Hyperlink">
    <w:name w:val="Hyperlink"/>
    <w:basedOn w:val="DefaultParagraphFont"/>
    <w:uiPriority w:val="99"/>
    <w:unhideWhenUsed/>
    <w:rsid w:val="007F260F"/>
    <w:rPr>
      <w:color w:val="0000FF" w:themeColor="hyperlink"/>
      <w:u w:val="single"/>
    </w:rPr>
  </w:style>
  <w:style w:type="paragraph" w:styleId="BalloonText">
    <w:name w:val="Balloon Text"/>
    <w:basedOn w:val="Normal"/>
    <w:link w:val="BalloonTextChar"/>
    <w:uiPriority w:val="99"/>
    <w:semiHidden/>
    <w:unhideWhenUsed/>
    <w:rsid w:val="00122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5F1"/>
    <w:rPr>
      <w:rFonts w:ascii="Tahoma" w:hAnsi="Tahoma" w:cs="Tahoma"/>
      <w:sz w:val="16"/>
      <w:szCs w:val="16"/>
    </w:rPr>
  </w:style>
  <w:style w:type="character" w:styleId="CommentReference">
    <w:name w:val="annotation reference"/>
    <w:basedOn w:val="DefaultParagraphFont"/>
    <w:uiPriority w:val="99"/>
    <w:semiHidden/>
    <w:unhideWhenUsed/>
    <w:rsid w:val="001225F1"/>
    <w:rPr>
      <w:sz w:val="16"/>
      <w:szCs w:val="16"/>
    </w:rPr>
  </w:style>
  <w:style w:type="paragraph" w:styleId="CommentText">
    <w:name w:val="annotation text"/>
    <w:basedOn w:val="Normal"/>
    <w:link w:val="CommentTextChar"/>
    <w:uiPriority w:val="99"/>
    <w:semiHidden/>
    <w:unhideWhenUsed/>
    <w:rsid w:val="001225F1"/>
    <w:pPr>
      <w:spacing w:line="240" w:lineRule="auto"/>
    </w:pPr>
    <w:rPr>
      <w:sz w:val="20"/>
      <w:szCs w:val="20"/>
    </w:rPr>
  </w:style>
  <w:style w:type="character" w:customStyle="1" w:styleId="CommentTextChar">
    <w:name w:val="Comment Text Char"/>
    <w:basedOn w:val="DefaultParagraphFont"/>
    <w:link w:val="CommentText"/>
    <w:uiPriority w:val="99"/>
    <w:semiHidden/>
    <w:rsid w:val="001225F1"/>
    <w:rPr>
      <w:sz w:val="20"/>
      <w:szCs w:val="20"/>
    </w:rPr>
  </w:style>
  <w:style w:type="paragraph" w:styleId="CommentSubject">
    <w:name w:val="annotation subject"/>
    <w:basedOn w:val="CommentText"/>
    <w:next w:val="CommentText"/>
    <w:link w:val="CommentSubjectChar"/>
    <w:uiPriority w:val="99"/>
    <w:semiHidden/>
    <w:unhideWhenUsed/>
    <w:rsid w:val="001225F1"/>
    <w:rPr>
      <w:b/>
      <w:bCs/>
    </w:rPr>
  </w:style>
  <w:style w:type="character" w:customStyle="1" w:styleId="CommentSubjectChar">
    <w:name w:val="Comment Subject Char"/>
    <w:basedOn w:val="CommentTextChar"/>
    <w:link w:val="CommentSubject"/>
    <w:uiPriority w:val="99"/>
    <w:semiHidden/>
    <w:rsid w:val="001225F1"/>
    <w:rPr>
      <w:b/>
      <w:bCs/>
    </w:rPr>
  </w:style>
  <w:style w:type="paragraph" w:styleId="Header">
    <w:name w:val="header"/>
    <w:basedOn w:val="Normal"/>
    <w:link w:val="HeaderChar"/>
    <w:uiPriority w:val="99"/>
    <w:semiHidden/>
    <w:unhideWhenUsed/>
    <w:rsid w:val="00FD4D2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D4D2A"/>
  </w:style>
  <w:style w:type="paragraph" w:styleId="Footer">
    <w:name w:val="footer"/>
    <w:basedOn w:val="Normal"/>
    <w:link w:val="FooterChar"/>
    <w:uiPriority w:val="99"/>
    <w:unhideWhenUsed/>
    <w:rsid w:val="00FD4D2A"/>
    <w:pPr>
      <w:tabs>
        <w:tab w:val="center" w:pos="4680"/>
        <w:tab w:val="right" w:pos="9360"/>
      </w:tabs>
      <w:spacing w:line="240" w:lineRule="auto"/>
    </w:pPr>
  </w:style>
  <w:style w:type="character" w:customStyle="1" w:styleId="FooterChar">
    <w:name w:val="Footer Char"/>
    <w:basedOn w:val="DefaultParagraphFont"/>
    <w:link w:val="Footer"/>
    <w:uiPriority w:val="99"/>
    <w:rsid w:val="00FD4D2A"/>
  </w:style>
  <w:style w:type="paragraph" w:styleId="NoSpacing">
    <w:name w:val="No Spacing"/>
    <w:uiPriority w:val="1"/>
    <w:qFormat/>
    <w:rsid w:val="003644F9"/>
    <w:pPr>
      <w:spacing w:line="240" w:lineRule="auto"/>
    </w:pPr>
  </w:style>
  <w:style w:type="paragraph" w:styleId="BodyText">
    <w:name w:val="Body Text"/>
    <w:basedOn w:val="Normal"/>
    <w:link w:val="BodyTextChar"/>
    <w:semiHidden/>
    <w:rsid w:val="00C104BC"/>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C104BC"/>
    <w:rPr>
      <w:rFonts w:ascii="Garamond" w:eastAsia="Times New Roman" w:hAnsi="Garamond" w:cs="Times New Roman"/>
      <w:szCs w:val="20"/>
    </w:rPr>
  </w:style>
  <w:style w:type="paragraph" w:styleId="NormalWeb">
    <w:name w:val="Normal (Web)"/>
    <w:basedOn w:val="Normal"/>
    <w:uiPriority w:val="99"/>
    <w:unhideWhenUsed/>
    <w:rsid w:val="005F3A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304"/>
    <w:rPr>
      <w:b/>
      <w:bCs/>
    </w:rPr>
  </w:style>
  <w:style w:type="character" w:customStyle="1" w:styleId="Heading1Char">
    <w:name w:val="Heading 1 Char"/>
    <w:basedOn w:val="DefaultParagraphFont"/>
    <w:link w:val="Heading1"/>
    <w:uiPriority w:val="9"/>
    <w:rsid w:val="00461304"/>
    <w:rPr>
      <w:rFonts w:ascii="Arial" w:eastAsia="Times New Roman" w:hAnsi="Arial" w:cs="Arial"/>
      <w:b/>
      <w:bCs/>
      <w:color w:val="009B7B"/>
      <w:kern w:val="36"/>
      <w:sz w:val="37"/>
      <w:szCs w:val="37"/>
    </w:rPr>
  </w:style>
  <w:style w:type="character" w:customStyle="1" w:styleId="InitialStyle2">
    <w:name w:val="InitialStyle:2"/>
    <w:basedOn w:val="DefaultParagraphFont"/>
    <w:rsid w:val="00A76269"/>
    <w:rPr>
      <w:rFonts w:ascii="Times New Roman" w:hAnsi="Times New Roman" w:cs="Times New Roman" w:hint="default"/>
      <w:color w:val="auto"/>
      <w:spacing w:val="0"/>
    </w:rPr>
  </w:style>
</w:styles>
</file>

<file path=word/webSettings.xml><?xml version="1.0" encoding="utf-8"?>
<w:webSettings xmlns:r="http://schemas.openxmlformats.org/officeDocument/2006/relationships" xmlns:w="http://schemas.openxmlformats.org/wordprocessingml/2006/main">
  <w:divs>
    <w:div w:id="95030454">
      <w:bodyDiv w:val="1"/>
      <w:marLeft w:val="0"/>
      <w:marRight w:val="0"/>
      <w:marTop w:val="0"/>
      <w:marBottom w:val="0"/>
      <w:divBdr>
        <w:top w:val="none" w:sz="0" w:space="0" w:color="auto"/>
        <w:left w:val="none" w:sz="0" w:space="0" w:color="auto"/>
        <w:bottom w:val="none" w:sz="0" w:space="0" w:color="auto"/>
        <w:right w:val="none" w:sz="0" w:space="0" w:color="auto"/>
      </w:divBdr>
    </w:div>
    <w:div w:id="181751420">
      <w:bodyDiv w:val="1"/>
      <w:marLeft w:val="0"/>
      <w:marRight w:val="0"/>
      <w:marTop w:val="0"/>
      <w:marBottom w:val="0"/>
      <w:divBdr>
        <w:top w:val="none" w:sz="0" w:space="0" w:color="auto"/>
        <w:left w:val="none" w:sz="0" w:space="0" w:color="auto"/>
        <w:bottom w:val="none" w:sz="0" w:space="0" w:color="auto"/>
        <w:right w:val="none" w:sz="0" w:space="0" w:color="auto"/>
      </w:divBdr>
    </w:div>
    <w:div w:id="187526102">
      <w:bodyDiv w:val="1"/>
      <w:marLeft w:val="0"/>
      <w:marRight w:val="0"/>
      <w:marTop w:val="0"/>
      <w:marBottom w:val="0"/>
      <w:divBdr>
        <w:top w:val="none" w:sz="0" w:space="0" w:color="auto"/>
        <w:left w:val="none" w:sz="0" w:space="0" w:color="auto"/>
        <w:bottom w:val="none" w:sz="0" w:space="0" w:color="auto"/>
        <w:right w:val="none" w:sz="0" w:space="0" w:color="auto"/>
      </w:divBdr>
    </w:div>
    <w:div w:id="246235837">
      <w:bodyDiv w:val="1"/>
      <w:marLeft w:val="0"/>
      <w:marRight w:val="0"/>
      <w:marTop w:val="0"/>
      <w:marBottom w:val="0"/>
      <w:divBdr>
        <w:top w:val="none" w:sz="0" w:space="0" w:color="auto"/>
        <w:left w:val="none" w:sz="0" w:space="0" w:color="auto"/>
        <w:bottom w:val="none" w:sz="0" w:space="0" w:color="auto"/>
        <w:right w:val="none" w:sz="0" w:space="0" w:color="auto"/>
      </w:divBdr>
    </w:div>
    <w:div w:id="414325851">
      <w:bodyDiv w:val="1"/>
      <w:marLeft w:val="0"/>
      <w:marRight w:val="0"/>
      <w:marTop w:val="0"/>
      <w:marBottom w:val="0"/>
      <w:divBdr>
        <w:top w:val="none" w:sz="0" w:space="0" w:color="auto"/>
        <w:left w:val="none" w:sz="0" w:space="0" w:color="auto"/>
        <w:bottom w:val="none" w:sz="0" w:space="0" w:color="auto"/>
        <w:right w:val="none" w:sz="0" w:space="0" w:color="auto"/>
      </w:divBdr>
    </w:div>
    <w:div w:id="456141956">
      <w:bodyDiv w:val="1"/>
      <w:marLeft w:val="0"/>
      <w:marRight w:val="0"/>
      <w:marTop w:val="0"/>
      <w:marBottom w:val="0"/>
      <w:divBdr>
        <w:top w:val="none" w:sz="0" w:space="0" w:color="auto"/>
        <w:left w:val="none" w:sz="0" w:space="0" w:color="auto"/>
        <w:bottom w:val="none" w:sz="0" w:space="0" w:color="auto"/>
        <w:right w:val="none" w:sz="0" w:space="0" w:color="auto"/>
      </w:divBdr>
    </w:div>
    <w:div w:id="461384001">
      <w:bodyDiv w:val="1"/>
      <w:marLeft w:val="0"/>
      <w:marRight w:val="0"/>
      <w:marTop w:val="0"/>
      <w:marBottom w:val="0"/>
      <w:divBdr>
        <w:top w:val="none" w:sz="0" w:space="0" w:color="auto"/>
        <w:left w:val="none" w:sz="0" w:space="0" w:color="auto"/>
        <w:bottom w:val="none" w:sz="0" w:space="0" w:color="auto"/>
        <w:right w:val="none" w:sz="0" w:space="0" w:color="auto"/>
      </w:divBdr>
    </w:div>
    <w:div w:id="473840744">
      <w:bodyDiv w:val="1"/>
      <w:marLeft w:val="0"/>
      <w:marRight w:val="0"/>
      <w:marTop w:val="0"/>
      <w:marBottom w:val="0"/>
      <w:divBdr>
        <w:top w:val="none" w:sz="0" w:space="0" w:color="auto"/>
        <w:left w:val="none" w:sz="0" w:space="0" w:color="auto"/>
        <w:bottom w:val="none" w:sz="0" w:space="0" w:color="auto"/>
        <w:right w:val="none" w:sz="0" w:space="0" w:color="auto"/>
      </w:divBdr>
    </w:div>
    <w:div w:id="818839225">
      <w:bodyDiv w:val="1"/>
      <w:marLeft w:val="0"/>
      <w:marRight w:val="0"/>
      <w:marTop w:val="0"/>
      <w:marBottom w:val="0"/>
      <w:divBdr>
        <w:top w:val="none" w:sz="0" w:space="0" w:color="auto"/>
        <w:left w:val="none" w:sz="0" w:space="0" w:color="auto"/>
        <w:bottom w:val="none" w:sz="0" w:space="0" w:color="auto"/>
        <w:right w:val="none" w:sz="0" w:space="0" w:color="auto"/>
      </w:divBdr>
    </w:div>
    <w:div w:id="870191017">
      <w:bodyDiv w:val="1"/>
      <w:marLeft w:val="0"/>
      <w:marRight w:val="0"/>
      <w:marTop w:val="0"/>
      <w:marBottom w:val="0"/>
      <w:divBdr>
        <w:top w:val="none" w:sz="0" w:space="0" w:color="auto"/>
        <w:left w:val="none" w:sz="0" w:space="0" w:color="auto"/>
        <w:bottom w:val="none" w:sz="0" w:space="0" w:color="auto"/>
        <w:right w:val="none" w:sz="0" w:space="0" w:color="auto"/>
      </w:divBdr>
    </w:div>
    <w:div w:id="905215361">
      <w:bodyDiv w:val="1"/>
      <w:marLeft w:val="0"/>
      <w:marRight w:val="0"/>
      <w:marTop w:val="0"/>
      <w:marBottom w:val="0"/>
      <w:divBdr>
        <w:top w:val="none" w:sz="0" w:space="0" w:color="auto"/>
        <w:left w:val="none" w:sz="0" w:space="0" w:color="auto"/>
        <w:bottom w:val="none" w:sz="0" w:space="0" w:color="auto"/>
        <w:right w:val="none" w:sz="0" w:space="0" w:color="auto"/>
      </w:divBdr>
    </w:div>
    <w:div w:id="1200125229">
      <w:bodyDiv w:val="1"/>
      <w:marLeft w:val="0"/>
      <w:marRight w:val="0"/>
      <w:marTop w:val="0"/>
      <w:marBottom w:val="0"/>
      <w:divBdr>
        <w:top w:val="none" w:sz="0" w:space="0" w:color="auto"/>
        <w:left w:val="none" w:sz="0" w:space="0" w:color="auto"/>
        <w:bottom w:val="none" w:sz="0" w:space="0" w:color="auto"/>
        <w:right w:val="none" w:sz="0" w:space="0" w:color="auto"/>
      </w:divBdr>
      <w:divsChild>
        <w:div w:id="2096366050">
          <w:marLeft w:val="0"/>
          <w:marRight w:val="0"/>
          <w:marTop w:val="0"/>
          <w:marBottom w:val="0"/>
          <w:divBdr>
            <w:top w:val="none" w:sz="0" w:space="0" w:color="auto"/>
            <w:left w:val="none" w:sz="0" w:space="0" w:color="auto"/>
            <w:bottom w:val="none" w:sz="0" w:space="0" w:color="auto"/>
            <w:right w:val="none" w:sz="0" w:space="0" w:color="auto"/>
          </w:divBdr>
          <w:divsChild>
            <w:div w:id="404182542">
              <w:marLeft w:val="0"/>
              <w:marRight w:val="0"/>
              <w:marTop w:val="0"/>
              <w:marBottom w:val="0"/>
              <w:divBdr>
                <w:top w:val="none" w:sz="0" w:space="0" w:color="auto"/>
                <w:left w:val="none" w:sz="0" w:space="0" w:color="auto"/>
                <w:bottom w:val="none" w:sz="0" w:space="0" w:color="auto"/>
                <w:right w:val="none" w:sz="0" w:space="0" w:color="auto"/>
              </w:divBdr>
              <w:divsChild>
                <w:div w:id="1307472518">
                  <w:marLeft w:val="0"/>
                  <w:marRight w:val="0"/>
                  <w:marTop w:val="0"/>
                  <w:marBottom w:val="0"/>
                  <w:divBdr>
                    <w:top w:val="none" w:sz="0" w:space="0" w:color="auto"/>
                    <w:left w:val="none" w:sz="0" w:space="0" w:color="auto"/>
                    <w:bottom w:val="none" w:sz="0" w:space="0" w:color="auto"/>
                    <w:right w:val="none" w:sz="0" w:space="0" w:color="auto"/>
                  </w:divBdr>
                  <w:divsChild>
                    <w:div w:id="19533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5837">
      <w:bodyDiv w:val="1"/>
      <w:marLeft w:val="0"/>
      <w:marRight w:val="0"/>
      <w:marTop w:val="0"/>
      <w:marBottom w:val="0"/>
      <w:divBdr>
        <w:top w:val="none" w:sz="0" w:space="0" w:color="auto"/>
        <w:left w:val="none" w:sz="0" w:space="0" w:color="auto"/>
        <w:bottom w:val="none" w:sz="0" w:space="0" w:color="auto"/>
        <w:right w:val="none" w:sz="0" w:space="0" w:color="auto"/>
      </w:divBdr>
    </w:div>
    <w:div w:id="1399748132">
      <w:bodyDiv w:val="1"/>
      <w:marLeft w:val="0"/>
      <w:marRight w:val="0"/>
      <w:marTop w:val="0"/>
      <w:marBottom w:val="0"/>
      <w:divBdr>
        <w:top w:val="none" w:sz="0" w:space="0" w:color="auto"/>
        <w:left w:val="none" w:sz="0" w:space="0" w:color="auto"/>
        <w:bottom w:val="none" w:sz="0" w:space="0" w:color="auto"/>
        <w:right w:val="none" w:sz="0" w:space="0" w:color="auto"/>
      </w:divBdr>
      <w:divsChild>
        <w:div w:id="438646289">
          <w:marLeft w:val="0"/>
          <w:marRight w:val="0"/>
          <w:marTop w:val="0"/>
          <w:marBottom w:val="0"/>
          <w:divBdr>
            <w:top w:val="none" w:sz="0" w:space="0" w:color="auto"/>
            <w:left w:val="none" w:sz="0" w:space="0" w:color="auto"/>
            <w:bottom w:val="none" w:sz="0" w:space="0" w:color="auto"/>
            <w:right w:val="none" w:sz="0" w:space="0" w:color="auto"/>
          </w:divBdr>
          <w:divsChild>
            <w:div w:id="741753594">
              <w:marLeft w:val="0"/>
              <w:marRight w:val="0"/>
              <w:marTop w:val="0"/>
              <w:marBottom w:val="0"/>
              <w:divBdr>
                <w:top w:val="none" w:sz="0" w:space="0" w:color="auto"/>
                <w:left w:val="none" w:sz="0" w:space="0" w:color="auto"/>
                <w:bottom w:val="none" w:sz="0" w:space="0" w:color="auto"/>
                <w:right w:val="none" w:sz="0" w:space="0" w:color="auto"/>
              </w:divBdr>
              <w:divsChild>
                <w:div w:id="1251626234">
                  <w:marLeft w:val="0"/>
                  <w:marRight w:val="0"/>
                  <w:marTop w:val="0"/>
                  <w:marBottom w:val="0"/>
                  <w:divBdr>
                    <w:top w:val="none" w:sz="0" w:space="0" w:color="auto"/>
                    <w:left w:val="none" w:sz="0" w:space="0" w:color="auto"/>
                    <w:bottom w:val="none" w:sz="0" w:space="0" w:color="auto"/>
                    <w:right w:val="none" w:sz="0" w:space="0" w:color="auto"/>
                  </w:divBdr>
                  <w:divsChild>
                    <w:div w:id="19391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16706">
      <w:bodyDiv w:val="1"/>
      <w:marLeft w:val="0"/>
      <w:marRight w:val="0"/>
      <w:marTop w:val="0"/>
      <w:marBottom w:val="0"/>
      <w:divBdr>
        <w:top w:val="none" w:sz="0" w:space="0" w:color="auto"/>
        <w:left w:val="none" w:sz="0" w:space="0" w:color="auto"/>
        <w:bottom w:val="none" w:sz="0" w:space="0" w:color="auto"/>
        <w:right w:val="none" w:sz="0" w:space="0" w:color="auto"/>
      </w:divBdr>
    </w:div>
    <w:div w:id="1784227061">
      <w:bodyDiv w:val="1"/>
      <w:marLeft w:val="0"/>
      <w:marRight w:val="0"/>
      <w:marTop w:val="0"/>
      <w:marBottom w:val="0"/>
      <w:divBdr>
        <w:top w:val="none" w:sz="0" w:space="0" w:color="auto"/>
        <w:left w:val="none" w:sz="0" w:space="0" w:color="auto"/>
        <w:bottom w:val="none" w:sz="0" w:space="0" w:color="auto"/>
        <w:right w:val="none" w:sz="0" w:space="0" w:color="auto"/>
      </w:divBdr>
    </w:div>
    <w:div w:id="1928540838">
      <w:bodyDiv w:val="1"/>
      <w:marLeft w:val="0"/>
      <w:marRight w:val="0"/>
      <w:marTop w:val="0"/>
      <w:marBottom w:val="0"/>
      <w:divBdr>
        <w:top w:val="none" w:sz="0" w:space="0" w:color="auto"/>
        <w:left w:val="none" w:sz="0" w:space="0" w:color="auto"/>
        <w:bottom w:val="none" w:sz="0" w:space="0" w:color="auto"/>
        <w:right w:val="none" w:sz="0" w:space="0" w:color="auto"/>
      </w:divBdr>
    </w:div>
    <w:div w:id="1962954956">
      <w:bodyDiv w:val="1"/>
      <w:marLeft w:val="0"/>
      <w:marRight w:val="0"/>
      <w:marTop w:val="0"/>
      <w:marBottom w:val="0"/>
      <w:divBdr>
        <w:top w:val="none" w:sz="0" w:space="0" w:color="auto"/>
        <w:left w:val="none" w:sz="0" w:space="0" w:color="auto"/>
        <w:bottom w:val="none" w:sz="0" w:space="0" w:color="auto"/>
        <w:right w:val="none" w:sz="0" w:space="0" w:color="auto"/>
      </w:divBdr>
    </w:div>
    <w:div w:id="2029528724">
      <w:bodyDiv w:val="1"/>
      <w:marLeft w:val="0"/>
      <w:marRight w:val="0"/>
      <w:marTop w:val="0"/>
      <w:marBottom w:val="0"/>
      <w:divBdr>
        <w:top w:val="none" w:sz="0" w:space="0" w:color="auto"/>
        <w:left w:val="none" w:sz="0" w:space="0" w:color="auto"/>
        <w:bottom w:val="none" w:sz="0" w:space="0" w:color="auto"/>
        <w:right w:val="none" w:sz="0" w:space="0" w:color="auto"/>
      </w:divBdr>
      <w:divsChild>
        <w:div w:id="101347089">
          <w:marLeft w:val="0"/>
          <w:marRight w:val="0"/>
          <w:marTop w:val="0"/>
          <w:marBottom w:val="0"/>
          <w:divBdr>
            <w:top w:val="none" w:sz="0" w:space="0" w:color="auto"/>
            <w:left w:val="none" w:sz="0" w:space="0" w:color="auto"/>
            <w:bottom w:val="none" w:sz="0" w:space="0" w:color="auto"/>
            <w:right w:val="none" w:sz="0" w:space="0" w:color="auto"/>
          </w:divBdr>
          <w:divsChild>
            <w:div w:id="928662790">
              <w:marLeft w:val="0"/>
              <w:marRight w:val="0"/>
              <w:marTop w:val="0"/>
              <w:marBottom w:val="0"/>
              <w:divBdr>
                <w:top w:val="none" w:sz="0" w:space="0" w:color="auto"/>
                <w:left w:val="none" w:sz="0" w:space="0" w:color="auto"/>
                <w:bottom w:val="none" w:sz="0" w:space="0" w:color="auto"/>
                <w:right w:val="none" w:sz="0" w:space="0" w:color="auto"/>
              </w:divBdr>
              <w:divsChild>
                <w:div w:id="2143308126">
                  <w:marLeft w:val="0"/>
                  <w:marRight w:val="0"/>
                  <w:marTop w:val="0"/>
                  <w:marBottom w:val="0"/>
                  <w:divBdr>
                    <w:top w:val="none" w:sz="0" w:space="0" w:color="auto"/>
                    <w:left w:val="none" w:sz="0" w:space="0" w:color="auto"/>
                    <w:bottom w:val="none" w:sz="0" w:space="0" w:color="auto"/>
                    <w:right w:val="none" w:sz="0" w:space="0" w:color="auto"/>
                  </w:divBdr>
                  <w:divsChild>
                    <w:div w:id="9578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6718">
      <w:bodyDiv w:val="1"/>
      <w:marLeft w:val="0"/>
      <w:marRight w:val="0"/>
      <w:marTop w:val="0"/>
      <w:marBottom w:val="0"/>
      <w:divBdr>
        <w:top w:val="none" w:sz="0" w:space="0" w:color="auto"/>
        <w:left w:val="none" w:sz="0" w:space="0" w:color="auto"/>
        <w:bottom w:val="none" w:sz="0" w:space="0" w:color="auto"/>
        <w:right w:val="none" w:sz="0" w:space="0" w:color="auto"/>
      </w:divBdr>
    </w:div>
    <w:div w:id="20989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stoddard\Local%20Settings\Temporary%20Internet%20Files\Content.Outlook\3XV375KB\FY11%20Incentive%20Tracking%20thru%20April%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stoddard\Local%20Settings\Temporary%20Internet%20Files\Content.Outlook\3XV375KB\Weekly%20sales%20tracker%202011-05-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MWh Savings</a:t>
            </a:r>
          </a:p>
        </c:rich>
      </c:tx>
    </c:title>
    <c:plotArea>
      <c:layout/>
      <c:lineChart>
        <c:grouping val="standard"/>
        <c:ser>
          <c:idx val="0"/>
          <c:order val="0"/>
          <c:tx>
            <c:strRef>
              <c:f>'Goal vs Actual'!$A$2</c:f>
              <c:strCache>
                <c:ptCount val="1"/>
                <c:pt idx="0">
                  <c:v>Goal (MWh)</c:v>
                </c:pt>
              </c:strCache>
            </c:strRef>
          </c:tx>
          <c:marker>
            <c:symbol val="none"/>
          </c:marker>
          <c:cat>
            <c:numRef>
              <c:f>'Goal vs Actual'!$B$1:$M$1</c:f>
              <c:numCache>
                <c:formatCode>[$-409]mmm\-yy;@</c:formatCode>
                <c:ptCount val="12"/>
                <c:pt idx="0">
                  <c:v>40360</c:v>
                </c:pt>
                <c:pt idx="1">
                  <c:v>40391</c:v>
                </c:pt>
                <c:pt idx="2">
                  <c:v>40422</c:v>
                </c:pt>
                <c:pt idx="3">
                  <c:v>40452</c:v>
                </c:pt>
                <c:pt idx="4">
                  <c:v>40483</c:v>
                </c:pt>
                <c:pt idx="5">
                  <c:v>40513</c:v>
                </c:pt>
                <c:pt idx="6">
                  <c:v>40544</c:v>
                </c:pt>
                <c:pt idx="7">
                  <c:v>40575</c:v>
                </c:pt>
                <c:pt idx="8">
                  <c:v>40603</c:v>
                </c:pt>
                <c:pt idx="9">
                  <c:v>40634</c:v>
                </c:pt>
                <c:pt idx="10">
                  <c:v>40664</c:v>
                </c:pt>
                <c:pt idx="11">
                  <c:v>40695</c:v>
                </c:pt>
              </c:numCache>
            </c:numRef>
          </c:cat>
          <c:val>
            <c:numRef>
              <c:f>'Goal vs Actual'!$B$2:$M$2</c:f>
              <c:numCache>
                <c:formatCode>General</c:formatCode>
                <c:ptCount val="12"/>
                <c:pt idx="0">
                  <c:v>3250</c:v>
                </c:pt>
                <c:pt idx="1">
                  <c:v>6500</c:v>
                </c:pt>
                <c:pt idx="2">
                  <c:v>9750</c:v>
                </c:pt>
                <c:pt idx="3">
                  <c:v>13000</c:v>
                </c:pt>
                <c:pt idx="4">
                  <c:v>16250</c:v>
                </c:pt>
                <c:pt idx="5">
                  <c:v>19500</c:v>
                </c:pt>
                <c:pt idx="6">
                  <c:v>22750</c:v>
                </c:pt>
                <c:pt idx="7">
                  <c:v>26000</c:v>
                </c:pt>
                <c:pt idx="8">
                  <c:v>29250</c:v>
                </c:pt>
                <c:pt idx="9">
                  <c:v>32500</c:v>
                </c:pt>
                <c:pt idx="10">
                  <c:v>35750</c:v>
                </c:pt>
                <c:pt idx="11">
                  <c:v>39000</c:v>
                </c:pt>
              </c:numCache>
            </c:numRef>
          </c:val>
        </c:ser>
        <c:ser>
          <c:idx val="1"/>
          <c:order val="1"/>
          <c:tx>
            <c:strRef>
              <c:f>'Goal vs Actual'!$A$3</c:f>
              <c:strCache>
                <c:ptCount val="1"/>
                <c:pt idx="0">
                  <c:v>Actual (MWh)</c:v>
                </c:pt>
              </c:strCache>
            </c:strRef>
          </c:tx>
          <c:marker>
            <c:symbol val="none"/>
          </c:marker>
          <c:cat>
            <c:numRef>
              <c:f>'Goal vs Actual'!$B$1:$M$1</c:f>
              <c:numCache>
                <c:formatCode>[$-409]mmm\-yy;@</c:formatCode>
                <c:ptCount val="12"/>
                <c:pt idx="0">
                  <c:v>40360</c:v>
                </c:pt>
                <c:pt idx="1">
                  <c:v>40391</c:v>
                </c:pt>
                <c:pt idx="2">
                  <c:v>40422</c:v>
                </c:pt>
                <c:pt idx="3">
                  <c:v>40452</c:v>
                </c:pt>
                <c:pt idx="4">
                  <c:v>40483</c:v>
                </c:pt>
                <c:pt idx="5">
                  <c:v>40513</c:v>
                </c:pt>
                <c:pt idx="6">
                  <c:v>40544</c:v>
                </c:pt>
                <c:pt idx="7">
                  <c:v>40575</c:v>
                </c:pt>
                <c:pt idx="8">
                  <c:v>40603</c:v>
                </c:pt>
                <c:pt idx="9">
                  <c:v>40634</c:v>
                </c:pt>
                <c:pt idx="10">
                  <c:v>40664</c:v>
                </c:pt>
                <c:pt idx="11">
                  <c:v>40695</c:v>
                </c:pt>
              </c:numCache>
            </c:numRef>
          </c:cat>
          <c:val>
            <c:numRef>
              <c:f>'Goal vs Actual'!$B$3:$M$3</c:f>
              <c:numCache>
                <c:formatCode>General</c:formatCode>
                <c:ptCount val="12"/>
                <c:pt idx="0">
                  <c:v>1656</c:v>
                </c:pt>
                <c:pt idx="1">
                  <c:v>3755</c:v>
                </c:pt>
                <c:pt idx="2">
                  <c:v>5941</c:v>
                </c:pt>
                <c:pt idx="3">
                  <c:v>9027</c:v>
                </c:pt>
                <c:pt idx="4">
                  <c:v>10103</c:v>
                </c:pt>
                <c:pt idx="5">
                  <c:v>26103</c:v>
                </c:pt>
                <c:pt idx="6">
                  <c:v>28847</c:v>
                </c:pt>
                <c:pt idx="7">
                  <c:v>36473</c:v>
                </c:pt>
                <c:pt idx="8">
                  <c:v>40405</c:v>
                </c:pt>
                <c:pt idx="9">
                  <c:v>42325</c:v>
                </c:pt>
              </c:numCache>
            </c:numRef>
          </c:val>
        </c:ser>
        <c:marker val="1"/>
        <c:axId val="96604160"/>
        <c:axId val="96628736"/>
      </c:lineChart>
      <c:dateAx>
        <c:axId val="96604160"/>
        <c:scaling>
          <c:orientation val="minMax"/>
        </c:scaling>
        <c:axPos val="b"/>
        <c:numFmt formatCode="[$-409]mmm\-yy;@" sourceLinked="1"/>
        <c:majorTickMark val="none"/>
        <c:tickLblPos val="nextTo"/>
        <c:crossAx val="96628736"/>
        <c:crosses val="autoZero"/>
        <c:auto val="1"/>
        <c:lblOffset val="100"/>
      </c:dateAx>
      <c:valAx>
        <c:axId val="96628736"/>
        <c:scaling>
          <c:orientation val="minMax"/>
        </c:scaling>
        <c:axPos val="l"/>
        <c:majorGridlines/>
        <c:numFmt formatCode="General" sourceLinked="1"/>
        <c:majorTickMark val="none"/>
        <c:tickLblPos val="nextTo"/>
        <c:spPr>
          <a:ln w="9525">
            <a:noFill/>
          </a:ln>
        </c:spPr>
        <c:crossAx val="96604160"/>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11015274841617659"/>
          <c:y val="3.4267036064936335E-2"/>
          <c:w val="0.86668246235758295"/>
          <c:h val="0.82781374550403419"/>
        </c:manualLayout>
      </c:layout>
      <c:barChart>
        <c:barDir val="col"/>
        <c:grouping val="clustered"/>
        <c:ser>
          <c:idx val="1"/>
          <c:order val="0"/>
          <c:tx>
            <c:strRef>
              <c:f>'8 yr Comparison'!$B$7</c:f>
              <c:strCache>
                <c:ptCount val="1"/>
                <c:pt idx="0">
                  <c:v>Annualized MWh Savings</c:v>
                </c:pt>
              </c:strCache>
            </c:strRef>
          </c:tx>
          <c:cat>
            <c:strRef>
              <c:f>'8 yr Comparison'!$C$3:$J$3</c:f>
              <c:strCache>
                <c:ptCount val="8"/>
                <c:pt idx="0">
                  <c:v>04</c:v>
                </c:pt>
                <c:pt idx="1">
                  <c:v>05</c:v>
                </c:pt>
                <c:pt idx="2">
                  <c:v>06</c:v>
                </c:pt>
                <c:pt idx="3">
                  <c:v>07</c:v>
                </c:pt>
                <c:pt idx="4">
                  <c:v>08</c:v>
                </c:pt>
                <c:pt idx="5">
                  <c:v>09</c:v>
                </c:pt>
                <c:pt idx="6">
                  <c:v>10</c:v>
                </c:pt>
                <c:pt idx="7">
                  <c:v>11 - Projected</c:v>
                </c:pt>
              </c:strCache>
            </c:strRef>
          </c:cat>
          <c:val>
            <c:numRef>
              <c:f>'8 yr Comparison'!$C$7:$J$7</c:f>
              <c:numCache>
                <c:formatCode>General</c:formatCode>
                <c:ptCount val="8"/>
                <c:pt idx="0">
                  <c:v>4184</c:v>
                </c:pt>
                <c:pt idx="1">
                  <c:v>5637</c:v>
                </c:pt>
                <c:pt idx="2">
                  <c:v>39047</c:v>
                </c:pt>
                <c:pt idx="3">
                  <c:v>44722</c:v>
                </c:pt>
                <c:pt idx="4">
                  <c:v>55801</c:v>
                </c:pt>
                <c:pt idx="5">
                  <c:v>30609</c:v>
                </c:pt>
                <c:pt idx="6">
                  <c:v>44561</c:v>
                </c:pt>
                <c:pt idx="7" formatCode="0">
                  <c:v>88787.640478815025</c:v>
                </c:pt>
              </c:numCache>
            </c:numRef>
          </c:val>
        </c:ser>
        <c:dLbls>
          <c:showVal val="1"/>
        </c:dLbls>
        <c:axId val="63826176"/>
        <c:axId val="66429312"/>
      </c:barChart>
      <c:catAx>
        <c:axId val="63826176"/>
        <c:scaling>
          <c:orientation val="minMax"/>
        </c:scaling>
        <c:axPos val="b"/>
        <c:title>
          <c:tx>
            <c:rich>
              <a:bodyPr/>
              <a:lstStyle/>
              <a:p>
                <a:pPr>
                  <a:defRPr sz="1000"/>
                </a:pPr>
                <a:r>
                  <a:rPr lang="en-US" sz="1000"/>
                  <a:t>Fiscal Year</a:t>
                </a:r>
              </a:p>
            </c:rich>
          </c:tx>
        </c:title>
        <c:tickLblPos val="nextTo"/>
        <c:crossAx val="66429312"/>
        <c:crosses val="autoZero"/>
        <c:auto val="1"/>
        <c:lblAlgn val="ctr"/>
        <c:lblOffset val="100"/>
      </c:catAx>
      <c:valAx>
        <c:axId val="66429312"/>
        <c:scaling>
          <c:orientation val="minMax"/>
        </c:scaling>
        <c:axPos val="l"/>
        <c:majorGridlines/>
        <c:title>
          <c:tx>
            <c:rich>
              <a:bodyPr rot="-5400000" vert="horz"/>
              <a:lstStyle/>
              <a:p>
                <a:pPr>
                  <a:defRPr sz="1000"/>
                </a:pPr>
                <a:r>
                  <a:rPr lang="en-US" sz="1000"/>
                  <a:t>MWh Savings</a:t>
                </a:r>
              </a:p>
            </c:rich>
          </c:tx>
        </c:title>
        <c:numFmt formatCode="General" sourceLinked="1"/>
        <c:tickLblPos val="nextTo"/>
        <c:crossAx val="6382617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mstoddard</dc:creator>
  <cp:keywords/>
  <dc:description/>
  <cp:lastModifiedBy>kbickerman</cp:lastModifiedBy>
  <cp:revision>2</cp:revision>
  <cp:lastPrinted>2010-09-15T12:19:00Z</cp:lastPrinted>
  <dcterms:created xsi:type="dcterms:W3CDTF">2011-06-01T10:59:00Z</dcterms:created>
  <dcterms:modified xsi:type="dcterms:W3CDTF">2011-06-01T10:59:00Z</dcterms:modified>
</cp:coreProperties>
</file>